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ook w:val="01E0" w:firstRow="1" w:lastRow="1" w:firstColumn="1" w:lastColumn="1" w:noHBand="0" w:noVBand="0"/>
      </w:tblPr>
      <w:tblGrid>
        <w:gridCol w:w="3301"/>
        <w:gridCol w:w="6167"/>
      </w:tblGrid>
      <w:tr w:rsidR="00481526" w:rsidRPr="00CC2E9D" w14:paraId="4F68BE29" w14:textId="77777777" w:rsidTr="00983244">
        <w:trPr>
          <w:trHeight w:val="1418"/>
        </w:trPr>
        <w:tc>
          <w:tcPr>
            <w:tcW w:w="3301" w:type="dxa"/>
            <w:shd w:val="clear" w:color="auto" w:fill="auto"/>
          </w:tcPr>
          <w:p w14:paraId="3D0C9025" w14:textId="77777777" w:rsidR="00481526" w:rsidRPr="00CC2E9D" w:rsidRDefault="00481526" w:rsidP="008F0B64">
            <w:pPr>
              <w:jc w:val="center"/>
              <w:rPr>
                <w:b/>
                <w:color w:val="000000"/>
                <w:sz w:val="26"/>
              </w:rPr>
            </w:pPr>
            <w:r w:rsidRPr="00CC2E9D">
              <w:rPr>
                <w:b/>
                <w:color w:val="000000"/>
                <w:sz w:val="26"/>
              </w:rPr>
              <w:t>UỶ BAN NHÂN DÂN</w:t>
            </w:r>
          </w:p>
          <w:p w14:paraId="2602B954" w14:textId="77777777" w:rsidR="00481526" w:rsidRPr="00CC2E9D" w:rsidRDefault="00481526" w:rsidP="008F0B64">
            <w:pPr>
              <w:jc w:val="center"/>
              <w:rPr>
                <w:b/>
                <w:color w:val="000000"/>
                <w:sz w:val="26"/>
              </w:rPr>
            </w:pPr>
            <w:r w:rsidRPr="00CC2E9D">
              <w:rPr>
                <w:b/>
                <w:color w:val="000000"/>
                <w:sz w:val="26"/>
              </w:rPr>
              <w:t>TỈNH QUẢNG NINH</w:t>
            </w:r>
          </w:p>
          <w:p w14:paraId="518C95D8" w14:textId="77777777" w:rsidR="00481526" w:rsidRPr="00CC2E9D" w:rsidRDefault="00481526" w:rsidP="008F0B64">
            <w:pPr>
              <w:jc w:val="center"/>
              <w:rPr>
                <w:b/>
                <w:color w:val="000000"/>
              </w:rPr>
            </w:pPr>
            <w:r>
              <w:rPr>
                <w:noProof/>
                <w:color w:val="000000"/>
                <w:lang w:val="en-GB" w:eastAsia="en-GB"/>
              </w:rPr>
              <mc:AlternateContent>
                <mc:Choice Requires="wps">
                  <w:drawing>
                    <wp:anchor distT="0" distB="0" distL="114300" distR="114300" simplePos="0" relativeHeight="251659264" behindDoc="0" locked="0" layoutInCell="1" allowOverlap="1" wp14:anchorId="676DE295" wp14:editId="7D9A56BA">
                      <wp:simplePos x="0" y="0"/>
                      <wp:positionH relativeFrom="column">
                        <wp:posOffset>598170</wp:posOffset>
                      </wp:positionH>
                      <wp:positionV relativeFrom="paragraph">
                        <wp:posOffset>39370</wp:posOffset>
                      </wp:positionV>
                      <wp:extent cx="629920" cy="0"/>
                      <wp:effectExtent l="11430" t="5715" r="635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B3E7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3.1pt" to="9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Nj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YKdJD&#10;i7beErHvPKq1UiCgtqgIOg3GlRBeq40NldKT2ppnTb87pHTdEbXnke/r2QBIFjKSNylh4wzcthu+&#10;aAYx5OB1FO3U2j5AghzoFHtzvveGnzyicDjN5/Mc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"/>
                  </w:pict>
                </mc:Fallback>
              </mc:AlternateContent>
            </w:r>
          </w:p>
          <w:p w14:paraId="3FA3D616" w14:textId="08A6A954" w:rsidR="00481526" w:rsidRDefault="00481526" w:rsidP="008F0B64">
            <w:pPr>
              <w:jc w:val="center"/>
              <w:rPr>
                <w:color w:val="000000"/>
                <w:sz w:val="26"/>
              </w:rPr>
            </w:pPr>
            <w:r w:rsidRPr="00CC2E9D">
              <w:rPr>
                <w:color w:val="000000"/>
                <w:sz w:val="26"/>
              </w:rPr>
              <w:t xml:space="preserve">Số: </w:t>
            </w:r>
            <w:r w:rsidR="00356338">
              <w:rPr>
                <w:color w:val="000000"/>
                <w:sz w:val="26"/>
              </w:rPr>
              <w:t>32</w:t>
            </w:r>
            <w:r w:rsidRPr="00CC2E9D">
              <w:rPr>
                <w:color w:val="000000"/>
                <w:sz w:val="26"/>
              </w:rPr>
              <w:t>/202</w:t>
            </w:r>
            <w:r w:rsidR="0072408B">
              <w:rPr>
                <w:color w:val="000000"/>
                <w:sz w:val="26"/>
              </w:rPr>
              <w:t>4</w:t>
            </w:r>
            <w:r w:rsidRPr="00CC2E9D">
              <w:rPr>
                <w:color w:val="000000"/>
                <w:sz w:val="26"/>
              </w:rPr>
              <w:t>/QĐ-UBND</w:t>
            </w:r>
          </w:p>
          <w:p w14:paraId="195D6081" w14:textId="5D17F9A3" w:rsidR="002F5469" w:rsidRPr="002F5469" w:rsidRDefault="002F5469" w:rsidP="00F837B4">
            <w:pPr>
              <w:rPr>
                <w:b/>
                <w:color w:val="000000"/>
              </w:rPr>
            </w:pPr>
          </w:p>
        </w:tc>
        <w:tc>
          <w:tcPr>
            <w:tcW w:w="6167" w:type="dxa"/>
            <w:shd w:val="clear" w:color="auto" w:fill="auto"/>
          </w:tcPr>
          <w:p w14:paraId="2E4BF0F5" w14:textId="77777777" w:rsidR="00481526" w:rsidRPr="00CC2E9D" w:rsidRDefault="00481526" w:rsidP="008F0B64">
            <w:pPr>
              <w:jc w:val="center"/>
              <w:rPr>
                <w:b/>
                <w:color w:val="000000"/>
                <w:sz w:val="26"/>
              </w:rPr>
            </w:pPr>
            <w:r w:rsidRPr="00CC2E9D">
              <w:rPr>
                <w:color w:val="000000"/>
                <w:sz w:val="26"/>
              </w:rPr>
              <w:t xml:space="preserve">   </w:t>
            </w:r>
            <w:r w:rsidRPr="00CC2E9D">
              <w:rPr>
                <w:b/>
                <w:color w:val="000000"/>
                <w:sz w:val="26"/>
              </w:rPr>
              <w:t>CỘNG HÒA XÃ HỘI CHỦ NGHĨA VIỆT NAM</w:t>
            </w:r>
          </w:p>
          <w:p w14:paraId="3267B468" w14:textId="77777777" w:rsidR="00481526" w:rsidRPr="00CC2E9D" w:rsidRDefault="00481526" w:rsidP="008F0B64">
            <w:pPr>
              <w:jc w:val="center"/>
              <w:rPr>
                <w:b/>
                <w:color w:val="000000"/>
              </w:rPr>
            </w:pPr>
            <w:r w:rsidRPr="00CC2E9D">
              <w:rPr>
                <w:b/>
                <w:color w:val="000000"/>
              </w:rPr>
              <w:t xml:space="preserve">    Độc lập - Tự do - Hạnh phúc</w:t>
            </w:r>
          </w:p>
          <w:p w14:paraId="4F80C59C" w14:textId="77777777" w:rsidR="00481526" w:rsidRPr="00CC2E9D" w:rsidRDefault="00481526" w:rsidP="008F0B64">
            <w:pPr>
              <w:jc w:val="center"/>
              <w:rPr>
                <w:b/>
                <w:color w:val="000000"/>
              </w:rPr>
            </w:pPr>
            <w:r>
              <w:rPr>
                <w:noProof/>
                <w:color w:val="000000"/>
                <w:lang w:val="en-GB" w:eastAsia="en-GB"/>
              </w:rPr>
              <mc:AlternateContent>
                <mc:Choice Requires="wps">
                  <w:drawing>
                    <wp:anchor distT="0" distB="0" distL="114300" distR="114300" simplePos="0" relativeHeight="251660288" behindDoc="0" locked="0" layoutInCell="1" allowOverlap="1" wp14:anchorId="24FE0D4A" wp14:editId="4150A321">
                      <wp:simplePos x="0" y="0"/>
                      <wp:positionH relativeFrom="column">
                        <wp:posOffset>885825</wp:posOffset>
                      </wp:positionH>
                      <wp:positionV relativeFrom="paragraph">
                        <wp:posOffset>38100</wp:posOffset>
                      </wp:positionV>
                      <wp:extent cx="2209800" cy="0"/>
                      <wp:effectExtent l="13970" t="9525" r="508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4E23B"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3pt" to="24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"/>
                  </w:pict>
                </mc:Fallback>
              </mc:AlternateContent>
            </w:r>
          </w:p>
          <w:p w14:paraId="1A29C49F" w14:textId="02DED61F" w:rsidR="00481526" w:rsidRPr="00CC2E9D" w:rsidRDefault="00481526" w:rsidP="00356338">
            <w:pPr>
              <w:jc w:val="center"/>
              <w:rPr>
                <w:i/>
                <w:color w:val="000000"/>
              </w:rPr>
            </w:pPr>
            <w:r w:rsidRPr="00CC2E9D">
              <w:rPr>
                <w:b/>
                <w:i/>
                <w:color w:val="000000"/>
                <w:sz w:val="26"/>
              </w:rPr>
              <w:t xml:space="preserve">       </w:t>
            </w:r>
            <w:r w:rsidRPr="00CC2E9D">
              <w:rPr>
                <w:i/>
                <w:color w:val="000000"/>
              </w:rPr>
              <w:t xml:space="preserve">Quảng Ninh, ngày </w:t>
            </w:r>
            <w:r w:rsidR="00356338">
              <w:rPr>
                <w:i/>
                <w:color w:val="000000"/>
              </w:rPr>
              <w:t>12</w:t>
            </w:r>
            <w:r w:rsidRPr="00CC2E9D">
              <w:rPr>
                <w:i/>
                <w:color w:val="000000"/>
              </w:rPr>
              <w:t xml:space="preserve"> tháng</w:t>
            </w:r>
            <w:r w:rsidR="00356338">
              <w:rPr>
                <w:i/>
                <w:color w:val="000000"/>
              </w:rPr>
              <w:t xml:space="preserve"> 9</w:t>
            </w:r>
            <w:r w:rsidRPr="00CC2E9D">
              <w:rPr>
                <w:i/>
                <w:color w:val="000000"/>
              </w:rPr>
              <w:t xml:space="preserve"> năm 202</w:t>
            </w:r>
            <w:r w:rsidR="00B67166">
              <w:rPr>
                <w:i/>
                <w:color w:val="000000"/>
              </w:rPr>
              <w:t>4</w:t>
            </w:r>
          </w:p>
        </w:tc>
      </w:tr>
    </w:tbl>
    <w:p w14:paraId="7329FD87" w14:textId="77777777" w:rsidR="00E9028C" w:rsidRDefault="00E9028C" w:rsidP="00481526">
      <w:pPr>
        <w:jc w:val="center"/>
        <w:rPr>
          <w:b/>
          <w:color w:val="000000"/>
        </w:rPr>
      </w:pPr>
    </w:p>
    <w:p w14:paraId="58CB9446" w14:textId="76F01386" w:rsidR="00481526" w:rsidRPr="00CC2E9D" w:rsidRDefault="00481526" w:rsidP="00481526">
      <w:pPr>
        <w:jc w:val="center"/>
        <w:rPr>
          <w:b/>
          <w:color w:val="000000"/>
        </w:rPr>
      </w:pPr>
      <w:r w:rsidRPr="00CC2E9D">
        <w:rPr>
          <w:b/>
          <w:color w:val="000000"/>
        </w:rPr>
        <w:t>QUYẾT ĐỊNH</w:t>
      </w:r>
    </w:p>
    <w:p w14:paraId="3A53232F" w14:textId="3C81C203" w:rsidR="0072408B" w:rsidRPr="00C96F3B" w:rsidRDefault="009D1AD1" w:rsidP="0072408B">
      <w:pPr>
        <w:jc w:val="center"/>
        <w:rPr>
          <w:sz w:val="32"/>
          <w:highlight w:val="yellow"/>
          <w:lang w:val="nl-NL"/>
        </w:rPr>
      </w:pPr>
      <w:r>
        <w:rPr>
          <w:b/>
          <w:lang w:val="nl-NL"/>
        </w:rPr>
        <w:t>V/v</w:t>
      </w:r>
      <w:r w:rsidR="0072408B" w:rsidRPr="00C96F3B">
        <w:rPr>
          <w:b/>
          <w:lang w:val="nl-NL"/>
        </w:rPr>
        <w:t xml:space="preserve"> </w:t>
      </w:r>
      <w:r w:rsidR="0072408B">
        <w:rPr>
          <w:b/>
          <w:lang w:val="nl-NL"/>
        </w:rPr>
        <w:t>sửa đổi, bổ sung Bảng giá t</w:t>
      </w:r>
      <w:r w:rsidR="00356338">
        <w:rPr>
          <w:b/>
          <w:lang w:val="nl-NL"/>
        </w:rPr>
        <w:t>í</w:t>
      </w:r>
      <w:r w:rsidR="0072408B">
        <w:rPr>
          <w:b/>
          <w:lang w:val="nl-NL"/>
        </w:rPr>
        <w:t>nh thuế Tài nguyên</w:t>
      </w:r>
      <w:r w:rsidR="0072408B" w:rsidRPr="006F532F">
        <w:rPr>
          <w:b/>
          <w:lang w:val="nl-NL"/>
        </w:rPr>
        <w:t xml:space="preserve"> </w:t>
      </w:r>
      <w:r w:rsidR="0072408B">
        <w:rPr>
          <w:b/>
          <w:lang w:val="nl-NL"/>
        </w:rPr>
        <w:t xml:space="preserve">ban hành kèm theo Quyết định số 34/2023/QĐ-UBND </w:t>
      </w:r>
      <w:r w:rsidR="00B10920" w:rsidRPr="00B10920">
        <w:rPr>
          <w:b/>
          <w:lang w:val="nl-NL"/>
        </w:rPr>
        <w:t xml:space="preserve">ngày 14 tháng 12 năm 2023 </w:t>
      </w:r>
      <w:r w:rsidR="0072408B">
        <w:rPr>
          <w:b/>
          <w:lang w:val="nl-NL"/>
        </w:rPr>
        <w:t>của</w:t>
      </w:r>
      <w:r w:rsidR="00821C11">
        <w:rPr>
          <w:b/>
          <w:lang w:val="nl-NL"/>
        </w:rPr>
        <w:t xml:space="preserve"> Ủy ban nhân dân</w:t>
      </w:r>
      <w:r w:rsidR="0072408B">
        <w:rPr>
          <w:b/>
          <w:lang w:val="nl-NL"/>
        </w:rPr>
        <w:t xml:space="preserve"> tỉnh Quảng Ninh đối với </w:t>
      </w:r>
      <w:r w:rsidR="0072408B" w:rsidRPr="00D901DF">
        <w:rPr>
          <w:b/>
          <w:lang w:val="de-DE"/>
        </w:rPr>
        <w:t>các loại tài nguyên có giá tính thuế tài nguyên cao hơn 20% mức giá tối đa tại Khung giá Bộ Tài chính quy định</w:t>
      </w:r>
      <w:r w:rsidR="0072408B">
        <w:rPr>
          <w:noProof/>
        </w:rPr>
        <w:t xml:space="preserve"> </w:t>
      </w:r>
    </w:p>
    <w:p w14:paraId="66E186BF" w14:textId="3C1AF9D2" w:rsidR="00481526" w:rsidRPr="00CC2E9D" w:rsidRDefault="00B67166" w:rsidP="00481526">
      <w:pPr>
        <w:jc w:val="center"/>
        <w:rPr>
          <w:b/>
          <w:color w:val="000000"/>
          <w:sz w:val="16"/>
        </w:rPr>
      </w:pPr>
      <w:r>
        <w:rPr>
          <w:b/>
          <w:noProof/>
          <w:color w:val="000000"/>
          <w:lang w:val="en-GB" w:eastAsia="en-GB"/>
        </w:rPr>
        <mc:AlternateContent>
          <mc:Choice Requires="wps">
            <w:drawing>
              <wp:anchor distT="0" distB="0" distL="114300" distR="114300" simplePos="0" relativeHeight="251661312" behindDoc="0" locked="0" layoutInCell="1" allowOverlap="1" wp14:anchorId="0E988260" wp14:editId="72508B76">
                <wp:simplePos x="0" y="0"/>
                <wp:positionH relativeFrom="column">
                  <wp:posOffset>2219960</wp:posOffset>
                </wp:positionH>
                <wp:positionV relativeFrom="paragraph">
                  <wp:posOffset>45085</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991E6"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pt,3.55pt" to="282.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"/>
            </w:pict>
          </mc:Fallback>
        </mc:AlternateContent>
      </w:r>
    </w:p>
    <w:p w14:paraId="67F36A7E" w14:textId="16390F9D" w:rsidR="00481526" w:rsidRPr="00821C11" w:rsidRDefault="00481526" w:rsidP="00983244">
      <w:pPr>
        <w:spacing w:before="280" w:after="280"/>
        <w:jc w:val="center"/>
        <w:rPr>
          <w:b/>
          <w:color w:val="000000"/>
        </w:rPr>
      </w:pPr>
      <w:r w:rsidRPr="00CC2E9D">
        <w:rPr>
          <w:b/>
          <w:color w:val="000000"/>
        </w:rPr>
        <w:t>UỶ BAN NHÂN DÂN TỈNH QUẢNG NINH</w:t>
      </w:r>
    </w:p>
    <w:p w14:paraId="5F110748" w14:textId="4CD83E7E" w:rsidR="00821C11" w:rsidRPr="00813D05" w:rsidRDefault="00821C11" w:rsidP="00F41802">
      <w:pPr>
        <w:spacing w:before="100" w:line="250" w:lineRule="auto"/>
        <w:ind w:firstLine="714"/>
        <w:jc w:val="both"/>
        <w:rPr>
          <w:rFonts w:ascii="Times New Roman Italic" w:hAnsi="Times New Roman Italic"/>
          <w:i/>
          <w:color w:val="000000"/>
        </w:rPr>
      </w:pPr>
      <w:r w:rsidRPr="00813D05">
        <w:rPr>
          <w:rFonts w:ascii="Times New Roman Italic" w:hAnsi="Times New Roman Italic"/>
          <w:i/>
          <w:color w:val="000000"/>
        </w:rPr>
        <w:t xml:space="preserve">Căn cứ Luật Tổ chức chính quyền địa phương ngày 19 tháng 6 năm 2015; Luật </w:t>
      </w:r>
      <w:r w:rsidR="00356338">
        <w:rPr>
          <w:rFonts w:ascii="Times New Roman Italic" w:hAnsi="Times New Roman Italic"/>
          <w:i/>
          <w:color w:val="000000"/>
        </w:rPr>
        <w:t>S</w:t>
      </w:r>
      <w:r w:rsidRPr="00813D05">
        <w:rPr>
          <w:rFonts w:ascii="Times New Roman Italic" w:hAnsi="Times New Roman Italic"/>
          <w:i/>
          <w:color w:val="000000"/>
        </w:rPr>
        <w:t xml:space="preserve">ửa đổi, bổ sung một số điều của </w:t>
      </w:r>
      <w:r w:rsidR="00356338">
        <w:rPr>
          <w:rFonts w:ascii="Times New Roman Italic" w:hAnsi="Times New Roman Italic"/>
          <w:i/>
          <w:color w:val="000000"/>
        </w:rPr>
        <w:t>Luật tổ chức Chính phủ và Luật T</w:t>
      </w:r>
      <w:r w:rsidRPr="00813D05">
        <w:rPr>
          <w:rFonts w:ascii="Times New Roman Italic" w:hAnsi="Times New Roman Italic"/>
          <w:i/>
          <w:color w:val="000000"/>
        </w:rPr>
        <w:t>ổ chức chính quyền địa phương ngày 22 tháng 11 năm 2019;</w:t>
      </w:r>
    </w:p>
    <w:p w14:paraId="2B514A0C" w14:textId="372F4867" w:rsidR="00821C11" w:rsidRPr="00813D05" w:rsidRDefault="00821C11" w:rsidP="00F41802">
      <w:pPr>
        <w:spacing w:before="100" w:line="250" w:lineRule="auto"/>
        <w:ind w:firstLine="714"/>
        <w:jc w:val="both"/>
        <w:rPr>
          <w:rFonts w:ascii="Times New Roman Italic" w:hAnsi="Times New Roman Italic"/>
          <w:i/>
          <w:color w:val="000000"/>
        </w:rPr>
      </w:pPr>
      <w:r w:rsidRPr="00813D05">
        <w:rPr>
          <w:rFonts w:ascii="Times New Roman Italic" w:hAnsi="Times New Roman Italic"/>
          <w:i/>
          <w:color w:val="000000"/>
        </w:rPr>
        <w:t xml:space="preserve">Căn cứ Luật </w:t>
      </w:r>
      <w:r w:rsidR="00356338">
        <w:rPr>
          <w:rFonts w:ascii="Times New Roman Italic" w:hAnsi="Times New Roman Italic"/>
          <w:i/>
          <w:color w:val="000000"/>
        </w:rPr>
        <w:t>B</w:t>
      </w:r>
      <w:r w:rsidRPr="00813D05">
        <w:rPr>
          <w:rFonts w:ascii="Times New Roman Italic" w:hAnsi="Times New Roman Italic"/>
          <w:i/>
          <w:color w:val="000000"/>
        </w:rPr>
        <w:t xml:space="preserve">an hành văn bản quy phạm pháp luật ngày 22 tháng 6 năm 2015; Luật </w:t>
      </w:r>
      <w:r w:rsidR="00356338">
        <w:rPr>
          <w:rFonts w:ascii="Times New Roman Italic" w:hAnsi="Times New Roman Italic"/>
          <w:i/>
          <w:color w:val="000000"/>
        </w:rPr>
        <w:t>S</w:t>
      </w:r>
      <w:r w:rsidRPr="00813D05">
        <w:rPr>
          <w:rFonts w:ascii="Times New Roman Italic" w:hAnsi="Times New Roman Italic"/>
          <w:i/>
          <w:color w:val="000000"/>
        </w:rPr>
        <w:t>ửa đổi, bổ sung một số điều của Luật Ban hành văn bản quy phạm pháp luật ngày 18 tháng 6  năm 2020;</w:t>
      </w:r>
    </w:p>
    <w:p w14:paraId="68926F9F" w14:textId="77777777" w:rsidR="00821C11" w:rsidRPr="008C1BC3" w:rsidRDefault="00821C11" w:rsidP="00F41802">
      <w:pPr>
        <w:spacing w:before="100" w:line="250" w:lineRule="auto"/>
        <w:ind w:firstLine="714"/>
        <w:jc w:val="both"/>
        <w:rPr>
          <w:i/>
          <w:color w:val="000000"/>
          <w:spacing w:val="-8"/>
          <w:lang w:val="nl-NL"/>
        </w:rPr>
      </w:pPr>
      <w:r w:rsidRPr="00813D05">
        <w:rPr>
          <w:rFonts w:ascii="Times New Roman Italic" w:hAnsi="Times New Roman Italic"/>
          <w:i/>
          <w:color w:val="000000"/>
          <w:lang w:val="nl-NL"/>
        </w:rPr>
        <w:t>Căn cứ Luật Thuế tài nguyên ngày</w:t>
      </w:r>
      <w:r>
        <w:rPr>
          <w:i/>
          <w:color w:val="000000"/>
          <w:spacing w:val="-8"/>
          <w:lang w:val="nl-NL"/>
        </w:rPr>
        <w:t xml:space="preserve"> 25 tháng 11 năm </w:t>
      </w:r>
      <w:r w:rsidRPr="008C1BC3">
        <w:rPr>
          <w:i/>
          <w:color w:val="000000"/>
          <w:spacing w:val="-8"/>
          <w:lang w:val="nl-NL"/>
        </w:rPr>
        <w:t>2009;</w:t>
      </w:r>
    </w:p>
    <w:p w14:paraId="724477C7" w14:textId="77777777" w:rsidR="00821C11" w:rsidRPr="00CC2E9D" w:rsidRDefault="00821C11" w:rsidP="00F41802">
      <w:pPr>
        <w:spacing w:before="100" w:line="250" w:lineRule="auto"/>
        <w:ind w:firstLine="714"/>
        <w:jc w:val="both"/>
        <w:rPr>
          <w:i/>
          <w:color w:val="000000"/>
          <w:lang w:val="nl-NL"/>
        </w:rPr>
      </w:pPr>
      <w:r w:rsidRPr="00CC2E9D">
        <w:rPr>
          <w:i/>
          <w:color w:val="000000"/>
          <w:lang w:val="nl-NL"/>
        </w:rPr>
        <w:t>C</w:t>
      </w:r>
      <w:r w:rsidRPr="00CC2E9D">
        <w:rPr>
          <w:rFonts w:hint="eastAsia"/>
          <w:i/>
          <w:color w:val="000000"/>
          <w:lang w:val="nl-NL"/>
        </w:rPr>
        <w:t>ă</w:t>
      </w:r>
      <w:r w:rsidRPr="00CC2E9D">
        <w:rPr>
          <w:i/>
          <w:color w:val="000000"/>
          <w:lang w:val="nl-NL"/>
        </w:rPr>
        <w:t xml:space="preserve">n cứ Luật Quản lý Thuế ngày </w:t>
      </w:r>
      <w:r>
        <w:rPr>
          <w:i/>
          <w:color w:val="000000"/>
          <w:lang w:val="nl-NL"/>
        </w:rPr>
        <w:t>13</w:t>
      </w:r>
      <w:r w:rsidRPr="00CC2E9D">
        <w:rPr>
          <w:i/>
          <w:color w:val="000000"/>
          <w:lang w:val="nl-NL"/>
        </w:rPr>
        <w:t xml:space="preserve"> tháng </w:t>
      </w:r>
      <w:r>
        <w:rPr>
          <w:i/>
          <w:color w:val="000000"/>
          <w:lang w:val="nl-NL"/>
        </w:rPr>
        <w:t>6</w:t>
      </w:r>
      <w:r w:rsidRPr="00CC2E9D">
        <w:rPr>
          <w:i/>
          <w:color w:val="000000"/>
          <w:lang w:val="nl-NL"/>
        </w:rPr>
        <w:t xml:space="preserve"> năm 20</w:t>
      </w:r>
      <w:r>
        <w:rPr>
          <w:i/>
          <w:color w:val="000000"/>
          <w:lang w:val="nl-NL"/>
        </w:rPr>
        <w:t>19</w:t>
      </w:r>
      <w:r w:rsidRPr="00CC2E9D">
        <w:rPr>
          <w:i/>
          <w:color w:val="000000"/>
          <w:lang w:val="nl-NL"/>
        </w:rPr>
        <w:t xml:space="preserve">; </w:t>
      </w:r>
    </w:p>
    <w:p w14:paraId="47B3FA17" w14:textId="77777777" w:rsidR="00821C11" w:rsidRPr="00983244" w:rsidRDefault="00821C11" w:rsidP="00F41802">
      <w:pPr>
        <w:spacing w:before="100" w:line="250" w:lineRule="auto"/>
        <w:ind w:firstLine="714"/>
        <w:jc w:val="both"/>
        <w:rPr>
          <w:rFonts w:ascii="Times New Roman Italic" w:hAnsi="Times New Roman Italic"/>
          <w:i/>
          <w:color w:val="000000"/>
          <w:spacing w:val="-8"/>
          <w:lang w:val="nl-NL"/>
        </w:rPr>
      </w:pPr>
      <w:r w:rsidRPr="00983244">
        <w:rPr>
          <w:rFonts w:ascii="Times New Roman Italic" w:hAnsi="Times New Roman Italic"/>
          <w:i/>
          <w:color w:val="000000"/>
          <w:spacing w:val="-8"/>
          <w:lang w:val="nl-NL"/>
        </w:rPr>
        <w:t>Căn cứ Nghị định số 50/2010/N</w:t>
      </w:r>
      <w:r w:rsidRPr="00983244">
        <w:rPr>
          <w:rFonts w:ascii="Times New Roman Italic" w:hAnsi="Times New Roman Italic" w:hint="eastAsia"/>
          <w:i/>
          <w:color w:val="000000"/>
          <w:spacing w:val="-8"/>
          <w:lang w:val="nl-NL"/>
        </w:rPr>
        <w:t>Đ</w:t>
      </w:r>
      <w:r w:rsidRPr="00983244">
        <w:rPr>
          <w:rFonts w:ascii="Times New Roman Italic" w:hAnsi="Times New Roman Italic"/>
          <w:i/>
          <w:color w:val="000000"/>
          <w:spacing w:val="-8"/>
          <w:lang w:val="nl-NL"/>
        </w:rPr>
        <w:t xml:space="preserve">-CP ngày 14 tháng 5 năm 2010 của Chính phủ về quy </w:t>
      </w:r>
      <w:r w:rsidRPr="00983244">
        <w:rPr>
          <w:rFonts w:ascii="Times New Roman Italic" w:hAnsi="Times New Roman Italic" w:hint="eastAsia"/>
          <w:i/>
          <w:color w:val="000000"/>
          <w:spacing w:val="-8"/>
          <w:lang w:val="nl-NL"/>
        </w:rPr>
        <w:t>đ</w:t>
      </w:r>
      <w:r w:rsidRPr="00983244">
        <w:rPr>
          <w:rFonts w:ascii="Times New Roman Italic" w:hAnsi="Times New Roman Italic"/>
          <w:i/>
          <w:color w:val="000000"/>
          <w:spacing w:val="-8"/>
          <w:lang w:val="nl-NL"/>
        </w:rPr>
        <w:t>ịnh chi tiết và h</w:t>
      </w:r>
      <w:r w:rsidRPr="00983244">
        <w:rPr>
          <w:rFonts w:ascii="Times New Roman Italic" w:hAnsi="Times New Roman Italic" w:hint="eastAsia"/>
          <w:i/>
          <w:color w:val="000000"/>
          <w:spacing w:val="-8"/>
          <w:lang w:val="nl-NL"/>
        </w:rPr>
        <w:t>ư</w:t>
      </w:r>
      <w:r w:rsidRPr="00983244">
        <w:rPr>
          <w:rFonts w:ascii="Times New Roman Italic" w:hAnsi="Times New Roman Italic"/>
          <w:i/>
          <w:color w:val="000000"/>
          <w:spacing w:val="-8"/>
          <w:lang w:val="nl-NL"/>
        </w:rPr>
        <w:t xml:space="preserve">ớng dẫn thi hành một số </w:t>
      </w:r>
      <w:r w:rsidRPr="00983244">
        <w:rPr>
          <w:rFonts w:ascii="Times New Roman Italic" w:hAnsi="Times New Roman Italic" w:hint="eastAsia"/>
          <w:i/>
          <w:color w:val="000000"/>
          <w:spacing w:val="-8"/>
          <w:lang w:val="nl-NL"/>
        </w:rPr>
        <w:t>đ</w:t>
      </w:r>
      <w:r w:rsidRPr="00983244">
        <w:rPr>
          <w:rFonts w:ascii="Times New Roman Italic" w:hAnsi="Times New Roman Italic"/>
          <w:i/>
          <w:color w:val="000000"/>
          <w:spacing w:val="-8"/>
          <w:lang w:val="nl-NL"/>
        </w:rPr>
        <w:t>iều của Luật Thuế tài nguyên;</w:t>
      </w:r>
    </w:p>
    <w:p w14:paraId="675EBE53" w14:textId="04D17A3E" w:rsidR="00481526" w:rsidRPr="00CC2E9D" w:rsidRDefault="00821C11" w:rsidP="00F41802">
      <w:pPr>
        <w:spacing w:before="100" w:line="250" w:lineRule="auto"/>
        <w:ind w:firstLine="714"/>
        <w:jc w:val="both"/>
        <w:rPr>
          <w:i/>
          <w:color w:val="000000"/>
          <w:lang w:val="nl-NL"/>
        </w:rPr>
      </w:pPr>
      <w:r w:rsidRPr="00CC2E9D">
        <w:rPr>
          <w:i/>
          <w:color w:val="000000"/>
          <w:lang w:val="nl-NL"/>
        </w:rPr>
        <w:t>Căn cứ Nghị định số 12/2015/NĐ-CP ngày 12 tháng 02 năm 2015 của Chí</w:t>
      </w:r>
      <w:r w:rsidR="00356338">
        <w:rPr>
          <w:i/>
          <w:color w:val="000000"/>
          <w:lang w:val="nl-NL"/>
        </w:rPr>
        <w:t>nh phủ hướng dẫn thi hành Luật S</w:t>
      </w:r>
      <w:r w:rsidRPr="00CC2E9D">
        <w:rPr>
          <w:i/>
          <w:color w:val="000000"/>
          <w:lang w:val="nl-NL"/>
        </w:rPr>
        <w:t>ửa đổi, bổ sung  một số điều của các Luật Thuế và sửa đổi, bổ sung một số điều của các Nghị định về thuế;</w:t>
      </w:r>
    </w:p>
    <w:p w14:paraId="123D90CF" w14:textId="069696A0" w:rsidR="00481526" w:rsidRDefault="00481526" w:rsidP="00F41802">
      <w:pPr>
        <w:spacing w:before="100" w:line="250" w:lineRule="auto"/>
        <w:ind w:firstLine="714"/>
        <w:jc w:val="both"/>
        <w:rPr>
          <w:i/>
          <w:color w:val="000000"/>
          <w:lang w:val="nl-NL"/>
        </w:rPr>
      </w:pPr>
      <w:r w:rsidRPr="00CC2E9D">
        <w:rPr>
          <w:i/>
          <w:color w:val="000000"/>
          <w:lang w:val="nl-NL"/>
        </w:rPr>
        <w:t>Căn cứ</w:t>
      </w:r>
      <w:r w:rsidR="005312F7">
        <w:rPr>
          <w:i/>
          <w:color w:val="000000"/>
          <w:lang w:val="nl-NL"/>
        </w:rPr>
        <w:t xml:space="preserve"> các </w:t>
      </w:r>
      <w:r w:rsidRPr="00CC2E9D">
        <w:rPr>
          <w:i/>
          <w:color w:val="000000"/>
          <w:lang w:val="nl-NL"/>
        </w:rPr>
        <w:t>Thông tư</w:t>
      </w:r>
      <w:r w:rsidR="00821C11">
        <w:rPr>
          <w:i/>
          <w:color w:val="000000"/>
          <w:lang w:val="nl-NL"/>
        </w:rPr>
        <w:t xml:space="preserve"> của Bộ trưởng Bộ Tài chính</w:t>
      </w:r>
      <w:r w:rsidR="005312F7">
        <w:rPr>
          <w:i/>
          <w:color w:val="000000"/>
          <w:lang w:val="nl-NL"/>
        </w:rPr>
        <w:t xml:space="preserve">: </w:t>
      </w:r>
      <w:r w:rsidR="00821C11">
        <w:rPr>
          <w:i/>
          <w:color w:val="000000"/>
          <w:lang w:val="nl-NL"/>
        </w:rPr>
        <w:t>S</w:t>
      </w:r>
      <w:r w:rsidRPr="00CC2E9D">
        <w:rPr>
          <w:i/>
          <w:color w:val="000000"/>
          <w:lang w:val="nl-NL"/>
        </w:rPr>
        <w:t xml:space="preserve">ố </w:t>
      </w:r>
      <w:r w:rsidR="00821C11">
        <w:rPr>
          <w:i/>
          <w:color w:val="000000"/>
          <w:lang w:val="nl-NL"/>
        </w:rPr>
        <w:t xml:space="preserve">152/2015/TT-BTC ngày 02 tháng 10 năm </w:t>
      </w:r>
      <w:r w:rsidR="00821C11" w:rsidRPr="00CC2E9D">
        <w:rPr>
          <w:i/>
          <w:color w:val="000000"/>
          <w:lang w:val="nl-NL"/>
        </w:rPr>
        <w:t xml:space="preserve">2015 </w:t>
      </w:r>
      <w:r w:rsidRPr="00CC2E9D">
        <w:rPr>
          <w:i/>
          <w:color w:val="000000"/>
          <w:lang w:val="nl-NL"/>
        </w:rPr>
        <w:t>"Hướng dẫn về Thuế tài nguyên";</w:t>
      </w:r>
      <w:r w:rsidR="005312F7">
        <w:rPr>
          <w:i/>
          <w:color w:val="000000"/>
          <w:lang w:val="nl-NL"/>
        </w:rPr>
        <w:t xml:space="preserve"> </w:t>
      </w:r>
      <w:r w:rsidRPr="00CC2E9D">
        <w:rPr>
          <w:i/>
          <w:color w:val="000000"/>
          <w:lang w:val="nl-NL"/>
        </w:rPr>
        <w:t xml:space="preserve">số 44/2017/TT-BTC </w:t>
      </w:r>
      <w:r w:rsidR="00821C11">
        <w:rPr>
          <w:i/>
          <w:color w:val="000000"/>
          <w:lang w:val="nl-NL"/>
        </w:rPr>
        <w:t xml:space="preserve">ngày 12 tháng 5 năm </w:t>
      </w:r>
      <w:r w:rsidR="00821C11" w:rsidRPr="00CC2E9D">
        <w:rPr>
          <w:i/>
          <w:color w:val="000000"/>
          <w:lang w:val="nl-NL"/>
        </w:rPr>
        <w:t xml:space="preserve">2017 </w:t>
      </w:r>
      <w:r w:rsidR="005312F7">
        <w:rPr>
          <w:i/>
          <w:color w:val="000000"/>
          <w:lang w:val="nl-NL"/>
        </w:rPr>
        <w:t>“Q</w:t>
      </w:r>
      <w:r w:rsidRPr="00CC2E9D">
        <w:rPr>
          <w:i/>
          <w:color w:val="000000"/>
          <w:lang w:val="nl-NL"/>
        </w:rPr>
        <w:t>uy định khung giá tính thuế tài nguyên đối với nhóm, loại tài nguyên có tính chất lý, hóa giống nhau</w:t>
      </w:r>
      <w:r w:rsidR="005312F7">
        <w:rPr>
          <w:i/>
          <w:color w:val="000000"/>
          <w:lang w:val="nl-NL"/>
        </w:rPr>
        <w:t>”</w:t>
      </w:r>
      <w:r w:rsidRPr="00CC2E9D">
        <w:rPr>
          <w:i/>
          <w:color w:val="000000"/>
          <w:lang w:val="nl-NL"/>
        </w:rPr>
        <w:t xml:space="preserve">; số 05/2020/TT-BTC ngày </w:t>
      </w:r>
      <w:r w:rsidR="00821C11">
        <w:rPr>
          <w:i/>
          <w:color w:val="000000"/>
          <w:lang w:val="nl-NL"/>
        </w:rPr>
        <w:t xml:space="preserve">ngày 20 tháng 01 năm </w:t>
      </w:r>
      <w:r w:rsidR="00821C11" w:rsidRPr="00CC2E9D">
        <w:rPr>
          <w:i/>
          <w:color w:val="000000"/>
          <w:lang w:val="nl-NL"/>
        </w:rPr>
        <w:t>2020</w:t>
      </w:r>
      <w:r w:rsidR="00821C11">
        <w:rPr>
          <w:i/>
          <w:color w:val="000000"/>
          <w:lang w:val="nl-NL"/>
        </w:rPr>
        <w:t xml:space="preserve"> </w:t>
      </w:r>
      <w:r w:rsidRPr="00CC2E9D">
        <w:rPr>
          <w:i/>
          <w:color w:val="000000"/>
          <w:lang w:val="nl-NL"/>
        </w:rPr>
        <w:t xml:space="preserve">"Sửa đổi, bổ sung một số điều của Thông tư số 44/2017/TT-BTC </w:t>
      </w:r>
      <w:r w:rsidR="00821C11">
        <w:rPr>
          <w:i/>
          <w:color w:val="000000"/>
          <w:lang w:val="nl-NL"/>
        </w:rPr>
        <w:t xml:space="preserve">ngày 12 tháng 5 năm </w:t>
      </w:r>
      <w:r w:rsidR="00821C11" w:rsidRPr="00CC2E9D">
        <w:rPr>
          <w:i/>
          <w:color w:val="000000"/>
          <w:lang w:val="nl-NL"/>
        </w:rPr>
        <w:t xml:space="preserve">2017 </w:t>
      </w:r>
      <w:r w:rsidRPr="00CC2E9D">
        <w:rPr>
          <w:i/>
          <w:color w:val="000000"/>
          <w:lang w:val="nl-NL"/>
        </w:rPr>
        <w:t>của Bộ Trưởng Bộ Tài chính quy định về khung giá tính thuế tài nguyên đối với nhóm, loại tài nguyên có tính chất lý, hóa giống nhau"</w:t>
      </w:r>
      <w:r w:rsidR="00821C11">
        <w:rPr>
          <w:i/>
          <w:color w:val="000000"/>
          <w:lang w:val="nl-NL"/>
        </w:rPr>
        <w:t>;</w:t>
      </w:r>
      <w:r w:rsidR="005312F7" w:rsidRPr="005312F7">
        <w:rPr>
          <w:i/>
          <w:color w:val="000000"/>
          <w:lang w:val="nl-NL"/>
        </w:rPr>
        <w:t xml:space="preserve"> số </w:t>
      </w:r>
      <w:r w:rsidR="00821C11">
        <w:rPr>
          <w:i/>
          <w:spacing w:val="-6"/>
        </w:rPr>
        <w:t xml:space="preserve">41/2024/TT-BTC ngày 20 tháng 5 năm </w:t>
      </w:r>
      <w:r w:rsidR="005312F7" w:rsidRPr="005312F7">
        <w:rPr>
          <w:i/>
          <w:spacing w:val="-6"/>
        </w:rPr>
        <w:t>2024 “Sửa đổi, bổ sung một số Điều của Thông tư số 44/2017/TT-BTC ngày 12 tháng 5 năm 2021 của Bộ trưởng Bộ Tài chính quy định Khung giá tính thuế tài nguyên đối với nhóm, loại tài nguyên có tính chất lý, hóa giống nhau và Thông tư số 152/2015/TT-BTC ngày 02 tháng 10 năm 2015 của Bộ trưởng Bộ Tài chính hướng dẫn về Thuế tài nguyên”</w:t>
      </w:r>
      <w:r w:rsidRPr="005312F7">
        <w:rPr>
          <w:i/>
          <w:color w:val="000000"/>
          <w:lang w:val="nl-NL"/>
        </w:rPr>
        <w:t>;</w:t>
      </w:r>
    </w:p>
    <w:p w14:paraId="4A7053CC" w14:textId="18606A46" w:rsidR="00B10920" w:rsidRPr="00B10920" w:rsidRDefault="00B10920" w:rsidP="00B10920">
      <w:pPr>
        <w:spacing w:before="100" w:line="250" w:lineRule="auto"/>
        <w:ind w:firstLine="714"/>
        <w:jc w:val="both"/>
        <w:rPr>
          <w:i/>
        </w:rPr>
      </w:pPr>
      <w:r>
        <w:rPr>
          <w:i/>
        </w:rPr>
        <w:t xml:space="preserve">Căn cứ Kết luận số 883-KL/BCSĐ ngày 09 tháng 9 năm 2024 của Ban cán sự đảng Ủy ban nhân dân tỉnh về việc ban hành quyết định sửa đổi, bổ sung </w:t>
      </w:r>
      <w:r w:rsidR="00356338">
        <w:rPr>
          <w:i/>
        </w:rPr>
        <w:t>Bảng giá tí</w:t>
      </w:r>
      <w:r w:rsidRPr="00B10920">
        <w:rPr>
          <w:i/>
        </w:rPr>
        <w:t>nh thuế Tài nguyên ban hành kèm theo Quyết định số 34/2023/QĐ-UBND ngày 14/12/2023 của Ủy ban nhân dân tỉnh</w:t>
      </w:r>
      <w:r>
        <w:rPr>
          <w:i/>
        </w:rPr>
        <w:t>;</w:t>
      </w:r>
    </w:p>
    <w:p w14:paraId="5A1D38DD" w14:textId="0534821D" w:rsidR="00983244" w:rsidRPr="00CC2E9D" w:rsidRDefault="00983244" w:rsidP="00F41802">
      <w:pPr>
        <w:spacing w:before="100" w:line="250" w:lineRule="auto"/>
        <w:ind w:firstLine="714"/>
        <w:jc w:val="both"/>
        <w:rPr>
          <w:i/>
          <w:color w:val="000000"/>
          <w:lang w:val="nl-NL"/>
        </w:rPr>
      </w:pPr>
      <w:r>
        <w:rPr>
          <w:i/>
        </w:rPr>
        <w:lastRenderedPageBreak/>
        <w:t xml:space="preserve">Căn cứ </w:t>
      </w:r>
      <w:r w:rsidRPr="008F3850">
        <w:rPr>
          <w:i/>
        </w:rPr>
        <w:t xml:space="preserve">Quy chế làm việc của </w:t>
      </w:r>
      <w:r>
        <w:rPr>
          <w:i/>
        </w:rPr>
        <w:t>Ủy ban nhân dân</w:t>
      </w:r>
      <w:r w:rsidRPr="008F3850">
        <w:rPr>
          <w:i/>
        </w:rPr>
        <w:t xml:space="preserve"> tỉnh </w:t>
      </w:r>
      <w:r>
        <w:rPr>
          <w:i/>
        </w:rPr>
        <w:t xml:space="preserve">Quảng Ninh </w:t>
      </w:r>
      <w:r w:rsidRPr="008F3850">
        <w:rPr>
          <w:i/>
        </w:rPr>
        <w:t xml:space="preserve">nhiệm kỳ 2021-2026 được ban hành kèm theo Quyết </w:t>
      </w:r>
      <w:r>
        <w:rPr>
          <w:i/>
        </w:rPr>
        <w:t xml:space="preserve">định số 56/2021/QĐ-UBND ngày 15 tháng </w:t>
      </w:r>
      <w:r w:rsidRPr="008F3850">
        <w:rPr>
          <w:i/>
        </w:rPr>
        <w:t>11</w:t>
      </w:r>
      <w:r>
        <w:rPr>
          <w:i/>
        </w:rPr>
        <w:t xml:space="preserve"> năm </w:t>
      </w:r>
      <w:r w:rsidRPr="008F3850">
        <w:rPr>
          <w:i/>
        </w:rPr>
        <w:t>2021</w:t>
      </w:r>
      <w:r>
        <w:rPr>
          <w:i/>
        </w:rPr>
        <w:t xml:space="preserve"> của Ủy ban nhân dân tỉnh;</w:t>
      </w:r>
    </w:p>
    <w:p w14:paraId="5EE91DCE" w14:textId="658B3DD4" w:rsidR="00481526" w:rsidRPr="00821C11" w:rsidRDefault="00481526" w:rsidP="00EB6C83">
      <w:pPr>
        <w:spacing w:before="80" w:line="250" w:lineRule="auto"/>
        <w:ind w:firstLine="714"/>
        <w:jc w:val="both"/>
        <w:rPr>
          <w:i/>
          <w:color w:val="000000"/>
          <w:lang w:val="nl-NL"/>
        </w:rPr>
      </w:pPr>
      <w:r w:rsidRPr="00821C11">
        <w:rPr>
          <w:i/>
          <w:color w:val="000000"/>
          <w:lang w:val="nl-NL"/>
        </w:rPr>
        <w:t>Theo đề nghị của Sở Tài chính tại Tờ trình số</w:t>
      </w:r>
      <w:r w:rsidR="00B67166" w:rsidRPr="00821C11">
        <w:rPr>
          <w:i/>
          <w:color w:val="000000"/>
          <w:lang w:val="nl-NL"/>
        </w:rPr>
        <w:t xml:space="preserve"> </w:t>
      </w:r>
      <w:r w:rsidR="00821C11" w:rsidRPr="00821C11">
        <w:rPr>
          <w:i/>
          <w:color w:val="000000"/>
          <w:lang w:val="nl-NL"/>
        </w:rPr>
        <w:t>4075</w:t>
      </w:r>
      <w:r w:rsidR="00B67166" w:rsidRPr="00821C11">
        <w:rPr>
          <w:i/>
          <w:color w:val="000000"/>
          <w:lang w:val="nl-NL"/>
        </w:rPr>
        <w:t>/TTr-STC ngày</w:t>
      </w:r>
      <w:r w:rsidR="00821C11" w:rsidRPr="00821C11">
        <w:rPr>
          <w:i/>
          <w:color w:val="000000"/>
          <w:lang w:val="nl-NL"/>
        </w:rPr>
        <w:t xml:space="preserve"> 13 tháng </w:t>
      </w:r>
      <w:r w:rsidR="00DB4CD3">
        <w:rPr>
          <w:i/>
          <w:color w:val="000000"/>
          <w:lang w:val="nl-NL"/>
        </w:rPr>
        <w:t>8</w:t>
      </w:r>
      <w:r w:rsidR="00821C11" w:rsidRPr="00821C11">
        <w:rPr>
          <w:i/>
          <w:color w:val="000000"/>
          <w:lang w:val="nl-NL"/>
        </w:rPr>
        <w:t xml:space="preserve"> năm </w:t>
      </w:r>
      <w:r w:rsidRPr="00821C11">
        <w:rPr>
          <w:i/>
          <w:color w:val="000000"/>
          <w:lang w:val="nl-NL"/>
        </w:rPr>
        <w:t>20</w:t>
      </w:r>
      <w:r w:rsidR="00B67166" w:rsidRPr="00821C11">
        <w:rPr>
          <w:i/>
          <w:color w:val="000000"/>
          <w:lang w:val="nl-NL"/>
        </w:rPr>
        <w:t>24</w:t>
      </w:r>
      <w:r w:rsidR="00821C11" w:rsidRPr="00821C11">
        <w:rPr>
          <w:i/>
          <w:color w:val="000000"/>
          <w:lang w:val="nl-NL"/>
        </w:rPr>
        <w:t xml:space="preserve">, </w:t>
      </w:r>
      <w:r w:rsidRPr="00821C11">
        <w:rPr>
          <w:i/>
          <w:color w:val="000000"/>
          <w:lang w:val="nl-NL"/>
        </w:rPr>
        <w:t>Báo cáo thẩm định số</w:t>
      </w:r>
      <w:r w:rsidR="00821C11" w:rsidRPr="00821C11">
        <w:rPr>
          <w:i/>
          <w:color w:val="000000"/>
          <w:lang w:val="nl-NL"/>
        </w:rPr>
        <w:t xml:space="preserve"> 220</w:t>
      </w:r>
      <w:r w:rsidRPr="00821C11">
        <w:rPr>
          <w:i/>
          <w:color w:val="000000"/>
          <w:lang w:val="nl-NL"/>
        </w:rPr>
        <w:t>/BC-STP ngày</w:t>
      </w:r>
      <w:r w:rsidR="00E85822" w:rsidRPr="00821C11">
        <w:rPr>
          <w:i/>
          <w:color w:val="000000"/>
          <w:lang w:val="nl-NL"/>
        </w:rPr>
        <w:t xml:space="preserve"> </w:t>
      </w:r>
      <w:r w:rsidR="00821C11" w:rsidRPr="00821C11">
        <w:rPr>
          <w:i/>
          <w:color w:val="000000"/>
          <w:lang w:val="nl-NL"/>
        </w:rPr>
        <w:t xml:space="preserve">19 tháng </w:t>
      </w:r>
      <w:r w:rsidR="005312F7" w:rsidRPr="00821C11">
        <w:rPr>
          <w:i/>
          <w:color w:val="000000"/>
          <w:lang w:val="nl-NL"/>
        </w:rPr>
        <w:t>7</w:t>
      </w:r>
      <w:r w:rsidR="00821C11" w:rsidRPr="00821C11">
        <w:rPr>
          <w:i/>
          <w:color w:val="000000"/>
          <w:lang w:val="nl-NL"/>
        </w:rPr>
        <w:t xml:space="preserve"> năm </w:t>
      </w:r>
      <w:r w:rsidR="00B67166" w:rsidRPr="00821C11">
        <w:rPr>
          <w:i/>
          <w:color w:val="000000"/>
          <w:lang w:val="nl-NL"/>
        </w:rPr>
        <w:t>2024</w:t>
      </w:r>
      <w:r w:rsidR="00821C11" w:rsidRPr="00821C11">
        <w:rPr>
          <w:i/>
          <w:color w:val="000000"/>
          <w:lang w:val="nl-NL"/>
        </w:rPr>
        <w:t xml:space="preserve"> của Sở Tư pháp và </w:t>
      </w:r>
      <w:r w:rsidR="00821C11" w:rsidRPr="00821C11">
        <w:rPr>
          <w:rFonts w:ascii="Times New Roman Italic" w:hAnsi="Times New Roman Italic"/>
          <w:i/>
          <w:color w:val="000000"/>
          <w:lang w:val="nl-NL"/>
        </w:rPr>
        <w:t>ý kiến đồng ý của thành viên Ủy ban nhân dân tỉnh.</w:t>
      </w:r>
    </w:p>
    <w:p w14:paraId="3029420D" w14:textId="5D928C27" w:rsidR="00481526" w:rsidRPr="00CC2E9D" w:rsidRDefault="00821C11" w:rsidP="00821C11">
      <w:pPr>
        <w:tabs>
          <w:tab w:val="left" w:pos="4215"/>
        </w:tabs>
        <w:spacing w:before="120" w:line="360" w:lineRule="auto"/>
        <w:ind w:firstLine="713"/>
        <w:jc w:val="both"/>
        <w:rPr>
          <w:color w:val="000000"/>
          <w:sz w:val="2"/>
          <w:lang w:val="nl-NL"/>
        </w:rPr>
      </w:pPr>
      <w:r>
        <w:rPr>
          <w:color w:val="000000"/>
          <w:sz w:val="2"/>
          <w:lang w:val="nl-NL"/>
        </w:rPr>
        <w:tab/>
      </w:r>
    </w:p>
    <w:p w14:paraId="2428E829" w14:textId="2CF01C01" w:rsidR="00481526" w:rsidRPr="00CC2E9D" w:rsidRDefault="00481526" w:rsidP="00821C11">
      <w:pPr>
        <w:spacing w:before="240" w:after="240" w:line="360" w:lineRule="auto"/>
        <w:ind w:firstLine="28"/>
        <w:jc w:val="center"/>
        <w:rPr>
          <w:b/>
          <w:color w:val="000000"/>
          <w:lang w:val="nl-NL"/>
        </w:rPr>
      </w:pPr>
      <w:r w:rsidRPr="00CC2E9D">
        <w:rPr>
          <w:b/>
          <w:color w:val="000000"/>
          <w:lang w:val="nl-NL"/>
        </w:rPr>
        <w:t>QUYẾT ĐỊNH:</w:t>
      </w:r>
    </w:p>
    <w:p w14:paraId="505F3CFE" w14:textId="77777777" w:rsidR="00481526" w:rsidRPr="00CC2E9D" w:rsidRDefault="00481526" w:rsidP="00481526">
      <w:pPr>
        <w:spacing w:before="120" w:line="360" w:lineRule="auto"/>
        <w:ind w:firstLine="31"/>
        <w:jc w:val="center"/>
        <w:rPr>
          <w:b/>
          <w:color w:val="000000"/>
          <w:sz w:val="2"/>
          <w:lang w:val="nl-NL"/>
        </w:rPr>
      </w:pPr>
    </w:p>
    <w:p w14:paraId="70B3BCC7" w14:textId="2D2372DC" w:rsidR="00481526" w:rsidRPr="005312F7" w:rsidRDefault="00481526" w:rsidP="00EB6C83">
      <w:pPr>
        <w:spacing w:before="100" w:line="250" w:lineRule="auto"/>
        <w:ind w:firstLine="720"/>
        <w:jc w:val="both"/>
        <w:rPr>
          <w:iCs/>
          <w:spacing w:val="-2"/>
          <w:lang w:val="nl-NL"/>
        </w:rPr>
      </w:pPr>
      <w:r w:rsidRPr="005312F7">
        <w:rPr>
          <w:b/>
          <w:color w:val="000000"/>
          <w:spacing w:val="-2"/>
          <w:lang w:val="nl-NL"/>
        </w:rPr>
        <w:t>Điều 1</w:t>
      </w:r>
      <w:r w:rsidRPr="005312F7">
        <w:rPr>
          <w:bCs/>
          <w:color w:val="000000"/>
          <w:spacing w:val="-2"/>
          <w:lang w:val="nl-NL"/>
        </w:rPr>
        <w:t xml:space="preserve">. </w:t>
      </w:r>
      <w:r w:rsidR="00C5436B">
        <w:rPr>
          <w:bCs/>
          <w:color w:val="000000"/>
          <w:spacing w:val="-2"/>
          <w:lang w:val="nl-NL"/>
        </w:rPr>
        <w:t>B</w:t>
      </w:r>
      <w:r w:rsidR="00EB6C83" w:rsidRPr="00EB6C83">
        <w:rPr>
          <w:iCs/>
          <w:spacing w:val="-2"/>
          <w:lang w:val="nl-NL"/>
        </w:rPr>
        <w:t xml:space="preserve">ổ sung Bảng giá tính thuế Tài nguyên ban hành kèm theo Quyết định số 34/2023/QĐ-UBND ngày 14 tháng 12 năm 2023 của Ủy ban nhân dân tỉnh Quảng Ninh </w:t>
      </w:r>
      <w:r w:rsidR="00B67166" w:rsidRPr="005312F7">
        <w:rPr>
          <w:iCs/>
          <w:spacing w:val="-2"/>
          <w:lang w:val="nl-NL"/>
        </w:rPr>
        <w:t xml:space="preserve">đối với </w:t>
      </w:r>
      <w:r w:rsidR="005312F7" w:rsidRPr="005312F7">
        <w:rPr>
          <w:iCs/>
          <w:spacing w:val="-2"/>
          <w:lang w:val="nl-NL"/>
        </w:rPr>
        <w:t xml:space="preserve">các loại tài nguyên có giá tính thuế tài nguyên cao hơn 20% mức giá tối đa tại Khung giá Bộ Tài chính quy định, </w:t>
      </w:r>
      <w:r w:rsidR="00DB4CD3">
        <w:rPr>
          <w:iCs/>
          <w:spacing w:val="-2"/>
          <w:lang w:val="nl-NL"/>
        </w:rPr>
        <w:t>chi tiết theo</w:t>
      </w:r>
      <w:r w:rsidR="005312F7" w:rsidRPr="005312F7">
        <w:rPr>
          <w:iCs/>
          <w:spacing w:val="-2"/>
          <w:lang w:val="nl-NL"/>
        </w:rPr>
        <w:t xml:space="preserve"> </w:t>
      </w:r>
      <w:r w:rsidR="00B67166" w:rsidRPr="005312F7">
        <w:rPr>
          <w:iCs/>
          <w:spacing w:val="-2"/>
          <w:lang w:val="nl-NL"/>
        </w:rPr>
        <w:t>P</w:t>
      </w:r>
      <w:r w:rsidRPr="005312F7">
        <w:rPr>
          <w:iCs/>
          <w:spacing w:val="-2"/>
          <w:lang w:val="nl-NL"/>
        </w:rPr>
        <w:t>hụ lục kèm theo Quyết định này.</w:t>
      </w:r>
    </w:p>
    <w:p w14:paraId="3A5E1CB3" w14:textId="362FA3CF" w:rsidR="00481526" w:rsidRPr="00220A3D" w:rsidRDefault="00481526" w:rsidP="00EB6C83">
      <w:pPr>
        <w:pStyle w:val="NormalWeb"/>
        <w:spacing w:beforeAutospacing="0" w:after="0" w:afterAutospacing="0" w:line="250" w:lineRule="auto"/>
        <w:ind w:firstLine="720"/>
        <w:jc w:val="both"/>
        <w:rPr>
          <w:rFonts w:ascii="Times New Roman" w:hAnsi="Times New Roman" w:cs="Times New Roman"/>
          <w:iCs/>
          <w:sz w:val="28"/>
          <w:szCs w:val="28"/>
          <w:lang w:val="nl-NL"/>
        </w:rPr>
      </w:pPr>
      <w:r w:rsidRPr="00DD2C0C">
        <w:rPr>
          <w:rFonts w:ascii="Times New Roman" w:hAnsi="Times New Roman" w:cs="Times New Roman"/>
          <w:iCs/>
          <w:sz w:val="28"/>
          <w:szCs w:val="28"/>
          <w:lang w:val="nl-NL"/>
        </w:rPr>
        <w:t xml:space="preserve"> </w:t>
      </w:r>
      <w:r w:rsidR="00EB6C83" w:rsidRPr="00F11981">
        <w:rPr>
          <w:rFonts w:ascii="Times New Roman" w:hAnsi="Times New Roman" w:cs="Times New Roman"/>
          <w:iCs/>
          <w:sz w:val="28"/>
          <w:szCs w:val="28"/>
          <w:lang w:val="nl-NL"/>
        </w:rPr>
        <w:t xml:space="preserve">Các nội dung khác không quy định tại Quyết định này được thực hiện theo quy định của Luật Thuế tài nguyên ngày 25 tháng 11 năm 2009; Luật </w:t>
      </w:r>
      <w:r w:rsidR="00356338">
        <w:rPr>
          <w:rFonts w:ascii="Times New Roman" w:hAnsi="Times New Roman" w:cs="Times New Roman"/>
          <w:iCs/>
          <w:sz w:val="28"/>
          <w:szCs w:val="28"/>
          <w:lang w:val="nl-NL"/>
        </w:rPr>
        <w:t>S</w:t>
      </w:r>
      <w:r w:rsidR="00EB6C83" w:rsidRPr="00F11981">
        <w:rPr>
          <w:rFonts w:ascii="Times New Roman" w:hAnsi="Times New Roman" w:cs="Times New Roman"/>
          <w:iCs/>
          <w:sz w:val="28"/>
          <w:szCs w:val="28"/>
          <w:lang w:val="nl-NL"/>
        </w:rPr>
        <w:t>ửa đổi, bổ sung một số điều của các Luật về thuế ngày 26 tháng 11 năm 2014; Nghị định số 50/2010/NĐ-CP ngày 14 tháng 5 năm 2010 của Chính phủ quy định chi tiết và hướng dẫn thi hành một số điều của Luật Thuế tài nguyên; Thông tư số 152/2015/TT-BTC ngày 02 tháng 10 năm 2015 của Bộ trưởng Bộ Tài chính hướng dẫn về thuế tài nguyên; Thông tư số 44/2017/TT-BTC ngày 12 tháng 5 năm 2017 của Bộ trưởng Bộ Tài chính quy định về khung giá tính thuế tài nguyên đối với nhóm, loại tài nguyên có tính chất lý, hóa giống nhau; Thông tư số 05/2020/TT-BTC ngày 20 tháng 01 năm 2020 của Bộ trưởng Bộ Tài chính về sửa đổi, bổ sung một số điều của Thông tư số 44/2017/TT-BTC ngày 12 tháng 5 năm 2017</w:t>
      </w:r>
      <w:r w:rsidR="00EB6C83">
        <w:rPr>
          <w:rFonts w:ascii="Times New Roman" w:hAnsi="Times New Roman" w:cs="Times New Roman"/>
          <w:iCs/>
          <w:sz w:val="28"/>
          <w:szCs w:val="28"/>
          <w:lang w:val="nl-NL"/>
        </w:rPr>
        <w:t xml:space="preserve">; </w:t>
      </w:r>
      <w:r w:rsidR="00220A3D">
        <w:rPr>
          <w:rFonts w:ascii="Times New Roman" w:hAnsi="Times New Roman" w:cs="Times New Roman"/>
          <w:iCs/>
          <w:sz w:val="28"/>
          <w:szCs w:val="28"/>
          <w:lang w:val="nl-NL"/>
        </w:rPr>
        <w:t xml:space="preserve">Thông tư </w:t>
      </w:r>
      <w:r w:rsidR="00220A3D" w:rsidRPr="00220A3D">
        <w:rPr>
          <w:rFonts w:ascii="Times New Roman" w:hAnsi="Times New Roman" w:cs="Times New Roman"/>
          <w:iCs/>
          <w:color w:val="000000"/>
          <w:sz w:val="28"/>
          <w:szCs w:val="28"/>
          <w:lang w:val="nl-NL"/>
        </w:rPr>
        <w:t>số</w:t>
      </w:r>
      <w:r w:rsidR="00220A3D" w:rsidRPr="00220A3D">
        <w:rPr>
          <w:rFonts w:ascii="Times New Roman" w:hAnsi="Times New Roman" w:cs="Times New Roman"/>
          <w:i/>
          <w:color w:val="000000"/>
          <w:sz w:val="28"/>
          <w:szCs w:val="28"/>
          <w:lang w:val="nl-NL"/>
        </w:rPr>
        <w:t xml:space="preserve"> </w:t>
      </w:r>
      <w:r w:rsidR="00EB6C83">
        <w:rPr>
          <w:rFonts w:ascii="Times New Roman" w:hAnsi="Times New Roman" w:cs="Times New Roman"/>
          <w:iCs/>
          <w:spacing w:val="-6"/>
          <w:sz w:val="28"/>
          <w:szCs w:val="28"/>
        </w:rPr>
        <w:t xml:space="preserve">41/2024/TT-BTC ngày 20 tháng 5 năm </w:t>
      </w:r>
      <w:r w:rsidR="00220A3D" w:rsidRPr="00220A3D">
        <w:rPr>
          <w:rFonts w:ascii="Times New Roman" w:hAnsi="Times New Roman" w:cs="Times New Roman"/>
          <w:iCs/>
          <w:spacing w:val="-6"/>
          <w:sz w:val="28"/>
          <w:szCs w:val="28"/>
        </w:rPr>
        <w:t xml:space="preserve">2024 của Bộ trưởng Bộ Tài chính về </w:t>
      </w:r>
      <w:r w:rsidR="00EB6C83">
        <w:rPr>
          <w:rFonts w:ascii="Times New Roman" w:hAnsi="Times New Roman" w:cs="Times New Roman"/>
          <w:iCs/>
          <w:spacing w:val="-6"/>
          <w:sz w:val="28"/>
          <w:szCs w:val="28"/>
        </w:rPr>
        <w:t>s</w:t>
      </w:r>
      <w:r w:rsidR="00220A3D" w:rsidRPr="00220A3D">
        <w:rPr>
          <w:rFonts w:ascii="Times New Roman" w:hAnsi="Times New Roman" w:cs="Times New Roman"/>
          <w:iCs/>
          <w:spacing w:val="-6"/>
          <w:sz w:val="28"/>
          <w:szCs w:val="28"/>
        </w:rPr>
        <w:t>ửa đổi, bổ sung một số Điều của Thông tư số 44/2017/TT-BTC ngày 12 tháng 5 năm 2021 của Bộ trưởng Bộ Tài chính quy định Khung giá tính thuế tài nguyên đối với nhóm, loại tài nguyên có tính chất lý, hóa giống nhau và Thông tư số 152/2015/TT-BTC ngày 02 tháng 10 năm 2015 của Bộ trưởng Bộ Tài chính hướng dẫn về Thuế tài nguyên</w:t>
      </w:r>
      <w:r w:rsidR="00220A3D">
        <w:rPr>
          <w:rFonts w:ascii="Times New Roman" w:hAnsi="Times New Roman" w:cs="Times New Roman"/>
          <w:iCs/>
          <w:spacing w:val="-6"/>
          <w:sz w:val="28"/>
          <w:szCs w:val="28"/>
        </w:rPr>
        <w:t>”</w:t>
      </w:r>
      <w:r w:rsidRPr="00220A3D">
        <w:rPr>
          <w:rFonts w:ascii="Times New Roman" w:hAnsi="Times New Roman" w:cs="Times New Roman"/>
          <w:iCs/>
          <w:sz w:val="28"/>
          <w:szCs w:val="28"/>
          <w:lang w:val="nl-NL"/>
        </w:rPr>
        <w:t xml:space="preserve"> và các văn bản khác có liên quan.</w:t>
      </w:r>
    </w:p>
    <w:p w14:paraId="477FC2FD" w14:textId="09A56BAA" w:rsidR="00481526" w:rsidRPr="00CC2E9D" w:rsidRDefault="00481526" w:rsidP="00EB6C83">
      <w:pPr>
        <w:spacing w:before="100" w:line="250" w:lineRule="auto"/>
        <w:ind w:firstLine="720"/>
        <w:jc w:val="both"/>
        <w:rPr>
          <w:color w:val="000000"/>
          <w:lang w:val="nl-NL"/>
        </w:rPr>
      </w:pPr>
      <w:r w:rsidRPr="00CC2E9D">
        <w:rPr>
          <w:b/>
          <w:color w:val="000000"/>
          <w:lang w:val="nl-NL"/>
        </w:rPr>
        <w:t>Điều 2.</w:t>
      </w:r>
      <w:r w:rsidRPr="00CC2E9D">
        <w:rPr>
          <w:color w:val="000000"/>
          <w:lang w:val="nl-NL"/>
        </w:rPr>
        <w:t xml:space="preserve"> </w:t>
      </w:r>
      <w:r w:rsidR="00EB6C83" w:rsidRPr="00F11981">
        <w:rPr>
          <w:color w:val="000000"/>
          <w:lang w:val="nl-NL"/>
        </w:rPr>
        <w:t>Đối tượng chịu thuế và người nộp thuế theo quy định tại Điều 2 và Điều 3 Thôn</w:t>
      </w:r>
      <w:r w:rsidR="00EB6C83">
        <w:rPr>
          <w:color w:val="000000"/>
          <w:lang w:val="nl-NL"/>
        </w:rPr>
        <w:t xml:space="preserve">g tư số 152/2015/TT-BTC ngày 02 tháng 10 năm </w:t>
      </w:r>
      <w:r w:rsidR="00EB6C83" w:rsidRPr="00F11981">
        <w:rPr>
          <w:color w:val="000000"/>
          <w:lang w:val="nl-NL"/>
        </w:rPr>
        <w:t xml:space="preserve">2015 của </w:t>
      </w:r>
      <w:r w:rsidR="00EB6C83">
        <w:rPr>
          <w:color w:val="000000"/>
          <w:lang w:val="nl-NL"/>
        </w:rPr>
        <w:t xml:space="preserve">Bộ trưởng </w:t>
      </w:r>
      <w:r w:rsidR="00EB6C83" w:rsidRPr="00F11981">
        <w:rPr>
          <w:color w:val="000000"/>
          <w:lang w:val="nl-NL"/>
        </w:rPr>
        <w:t>Bộ Tài chính “Hướng dẫn về Thuế Tài nguyên”.</w:t>
      </w:r>
    </w:p>
    <w:p w14:paraId="33DC4ED1" w14:textId="5559FA63" w:rsidR="003C472C" w:rsidRDefault="00481526" w:rsidP="00EB6C83">
      <w:pPr>
        <w:spacing w:before="100" w:line="250" w:lineRule="auto"/>
        <w:ind w:firstLine="720"/>
        <w:jc w:val="both"/>
        <w:rPr>
          <w:spacing w:val="-4"/>
          <w:lang w:val="nl-NL"/>
        </w:rPr>
      </w:pPr>
      <w:r w:rsidRPr="00EF4F8F">
        <w:rPr>
          <w:b/>
          <w:color w:val="000000" w:themeColor="text1"/>
          <w:lang w:val="nl-NL"/>
        </w:rPr>
        <w:t xml:space="preserve">Điều 3. </w:t>
      </w:r>
      <w:bookmarkStart w:id="0" w:name="_Hlk154036225"/>
      <w:r w:rsidR="00E60A76" w:rsidRPr="00F11981">
        <w:rPr>
          <w:color w:val="000000" w:themeColor="text1"/>
          <w:lang w:val="nl-NL"/>
        </w:rPr>
        <w:t xml:space="preserve">Quyết định này có hiệu lực thi hành từ ngày </w:t>
      </w:r>
      <w:r w:rsidR="00CD3E5C">
        <w:rPr>
          <w:color w:val="000000" w:themeColor="text1"/>
          <w:lang w:val="nl-NL"/>
        </w:rPr>
        <w:t>25</w:t>
      </w:r>
      <w:r w:rsidR="00E60A76">
        <w:rPr>
          <w:color w:val="000000" w:themeColor="text1"/>
          <w:lang w:val="nl-NL"/>
        </w:rPr>
        <w:t xml:space="preserve"> tháng </w:t>
      </w:r>
      <w:r w:rsidR="00CD3E5C">
        <w:rPr>
          <w:color w:val="000000" w:themeColor="text1"/>
          <w:lang w:val="nl-NL"/>
        </w:rPr>
        <w:t>9</w:t>
      </w:r>
      <w:r w:rsidR="00E60A76">
        <w:rPr>
          <w:color w:val="000000" w:themeColor="text1"/>
          <w:lang w:val="nl-NL"/>
        </w:rPr>
        <w:t xml:space="preserve"> năm </w:t>
      </w:r>
      <w:r w:rsidR="005A2E0D">
        <w:rPr>
          <w:color w:val="000000" w:themeColor="text1"/>
          <w:lang w:val="nl-NL"/>
        </w:rPr>
        <w:t xml:space="preserve">2024 </w:t>
      </w:r>
      <w:r w:rsidR="003C472C" w:rsidRPr="00CD1890">
        <w:rPr>
          <w:spacing w:val="-4"/>
          <w:lang w:val="nl-NL"/>
        </w:rPr>
        <w:t xml:space="preserve">và thay thế quy định về giá tính thuế tài nguyên của các nhóm, loại tài nguyên tương ứng tại các Quyết định Bảng giá tính thuế tài nguyên </w:t>
      </w:r>
      <w:r w:rsidR="003C472C">
        <w:rPr>
          <w:spacing w:val="-4"/>
          <w:lang w:val="nl-NL"/>
        </w:rPr>
        <w:t>của UBND tỉnh ban hành</w:t>
      </w:r>
      <w:r w:rsidR="003C472C" w:rsidRPr="00CD1890">
        <w:rPr>
          <w:spacing w:val="-4"/>
          <w:lang w:val="nl-NL"/>
        </w:rPr>
        <w:t>, cụ thể như sau:</w:t>
      </w:r>
    </w:p>
    <w:p w14:paraId="25C88776" w14:textId="72807F34" w:rsidR="003C472C" w:rsidRPr="003C472C" w:rsidRDefault="00E60A76" w:rsidP="00EB6C83">
      <w:pPr>
        <w:spacing w:before="100" w:line="250" w:lineRule="auto"/>
        <w:ind w:firstLine="720"/>
        <w:jc w:val="both"/>
        <w:rPr>
          <w:spacing w:val="-4"/>
          <w:lang w:val="nl-NL"/>
        </w:rPr>
      </w:pPr>
      <w:bookmarkStart w:id="1" w:name="_Hlk161912803"/>
      <w:bookmarkEnd w:id="0"/>
      <w:r>
        <w:rPr>
          <w:iCs/>
          <w:lang w:val="nl-NL"/>
        </w:rPr>
        <w:t>1</w:t>
      </w:r>
      <w:r w:rsidR="003C472C" w:rsidRPr="000A7D59">
        <w:rPr>
          <w:iCs/>
          <w:lang w:val="nl-NL"/>
        </w:rPr>
        <w:t xml:space="preserve">. Bãi bỏ </w:t>
      </w:r>
      <w:r w:rsidR="003C472C">
        <w:rPr>
          <w:iCs/>
          <w:spacing w:val="-4"/>
          <w:lang w:val="nl-NL"/>
        </w:rPr>
        <w:t>02</w:t>
      </w:r>
      <w:r w:rsidR="003C472C" w:rsidRPr="000A7D59">
        <w:rPr>
          <w:iCs/>
          <w:spacing w:val="-4"/>
          <w:lang w:val="nl-NL"/>
        </w:rPr>
        <w:t xml:space="preserve"> mã nhóm loại tài nguyên do Tập đoàn công nghiệp Than - </w:t>
      </w:r>
      <w:r w:rsidR="003C472C" w:rsidRPr="003C472C">
        <w:rPr>
          <w:iCs/>
          <w:spacing w:val="-4"/>
          <w:lang w:val="nl-NL"/>
        </w:rPr>
        <w:t xml:space="preserve">Khoáng sản Việt Nam (TKV) khai thác và </w:t>
      </w:r>
      <w:r w:rsidR="003C472C" w:rsidRPr="003C472C">
        <w:rPr>
          <w:iCs/>
          <w:spacing w:val="-8"/>
          <w:lang w:val="nl-NL"/>
        </w:rPr>
        <w:t xml:space="preserve">01 </w:t>
      </w:r>
      <w:r w:rsidR="003C472C" w:rsidRPr="003C472C">
        <w:rPr>
          <w:iCs/>
          <w:spacing w:val="-4"/>
          <w:lang w:val="nl-NL"/>
        </w:rPr>
        <w:t xml:space="preserve">mã nhóm loại tài nguyên </w:t>
      </w:r>
      <w:r>
        <w:rPr>
          <w:iCs/>
          <w:spacing w:val="-8"/>
          <w:lang w:val="nl-NL"/>
        </w:rPr>
        <w:t>do Tổng Công ty</w:t>
      </w:r>
      <w:r w:rsidR="003C472C" w:rsidRPr="003C472C">
        <w:rPr>
          <w:iCs/>
          <w:spacing w:val="-8"/>
          <w:lang w:val="nl-NL"/>
        </w:rPr>
        <w:t xml:space="preserve"> Đông Bắc khai thác</w:t>
      </w:r>
      <w:r w:rsidR="003C472C" w:rsidRPr="003C472C">
        <w:rPr>
          <w:iCs/>
          <w:spacing w:val="-4"/>
          <w:lang w:val="nl-NL"/>
        </w:rPr>
        <w:t xml:space="preserve"> được quy định t</w:t>
      </w:r>
      <w:r w:rsidR="003C472C" w:rsidRPr="003C472C">
        <w:rPr>
          <w:spacing w:val="-4"/>
          <w:lang w:val="nl-NL"/>
        </w:rPr>
        <w:t xml:space="preserve">ại </w:t>
      </w:r>
      <w:r w:rsidRPr="000A7D59">
        <w:rPr>
          <w:spacing w:val="-4"/>
          <w:lang w:val="nl-NL"/>
        </w:rPr>
        <w:t>Quyết định số 47/2022/QĐ-UBND ngày 21</w:t>
      </w:r>
      <w:r>
        <w:rPr>
          <w:spacing w:val="-4"/>
          <w:lang w:val="nl-NL"/>
        </w:rPr>
        <w:t xml:space="preserve"> tháng 12 năm </w:t>
      </w:r>
      <w:r w:rsidRPr="000A7D59">
        <w:rPr>
          <w:spacing w:val="-4"/>
          <w:lang w:val="nl-NL"/>
        </w:rPr>
        <w:t xml:space="preserve">2022 của </w:t>
      </w:r>
      <w:r>
        <w:rPr>
          <w:spacing w:val="-4"/>
          <w:lang w:val="nl-NL"/>
        </w:rPr>
        <w:t xml:space="preserve">Ủy ban nhân dân </w:t>
      </w:r>
      <w:r w:rsidRPr="000A7D59">
        <w:rPr>
          <w:spacing w:val="-4"/>
          <w:lang w:val="nl-NL"/>
        </w:rPr>
        <w:t>tỉnh</w:t>
      </w:r>
      <w:r w:rsidR="003C472C" w:rsidRPr="003C472C">
        <w:rPr>
          <w:spacing w:val="-4"/>
          <w:lang w:val="nl-NL"/>
        </w:rPr>
        <w:t>, cụ thể</w:t>
      </w:r>
      <w:r w:rsidR="00ED27BE">
        <w:rPr>
          <w:spacing w:val="-4"/>
          <w:lang w:val="nl-NL"/>
        </w:rPr>
        <w:t>:</w:t>
      </w:r>
    </w:p>
    <w:p w14:paraId="1901840D" w14:textId="77777777" w:rsidR="003C472C" w:rsidRPr="003C472C" w:rsidRDefault="003C472C" w:rsidP="00EB6C83">
      <w:pPr>
        <w:spacing w:before="100" w:line="250" w:lineRule="auto"/>
        <w:ind w:firstLine="720"/>
        <w:jc w:val="both"/>
        <w:rPr>
          <w:iCs/>
          <w:spacing w:val="-4"/>
          <w:lang w:val="nl-NL"/>
        </w:rPr>
      </w:pPr>
      <w:r w:rsidRPr="003C472C">
        <w:rPr>
          <w:spacing w:val="-4"/>
          <w:lang w:val="nl-NL"/>
        </w:rPr>
        <w:lastRenderedPageBreak/>
        <w:t>a) Mã n</w:t>
      </w:r>
      <w:r w:rsidRPr="003C472C">
        <w:rPr>
          <w:iCs/>
          <w:spacing w:val="-4"/>
          <w:lang w:val="nl-NL"/>
        </w:rPr>
        <w:t>hóm loại tài nguyên do Tập đoàn công nghiệp Than - Khoáng sản Việt Nam (TKV) khai thác, gồm:</w:t>
      </w:r>
    </w:p>
    <w:p w14:paraId="6A339374" w14:textId="77777777" w:rsidR="003C472C" w:rsidRPr="003C472C" w:rsidRDefault="003C472C" w:rsidP="00EB6C83">
      <w:pPr>
        <w:spacing w:before="100" w:line="250" w:lineRule="auto"/>
        <w:ind w:firstLine="720"/>
        <w:jc w:val="both"/>
        <w:rPr>
          <w:spacing w:val="-4"/>
          <w:lang w:val="nl-NL"/>
        </w:rPr>
      </w:pPr>
      <w:r w:rsidRPr="003C472C">
        <w:rPr>
          <w:spacing w:val="-4"/>
          <w:lang w:val="nl-NL"/>
        </w:rPr>
        <w:t>+ II160303, II170303 (Than cám 3a);</w:t>
      </w:r>
    </w:p>
    <w:p w14:paraId="57ACB3D6" w14:textId="77777777" w:rsidR="003C472C" w:rsidRPr="003C472C" w:rsidRDefault="003C472C" w:rsidP="00EB6C83">
      <w:pPr>
        <w:spacing w:before="100" w:line="250" w:lineRule="auto"/>
        <w:ind w:firstLine="720"/>
        <w:jc w:val="both"/>
        <w:rPr>
          <w:spacing w:val="-4"/>
          <w:lang w:val="nl-NL"/>
        </w:rPr>
      </w:pPr>
      <w:r w:rsidRPr="003C472C">
        <w:rPr>
          <w:spacing w:val="-4"/>
          <w:lang w:val="nl-NL"/>
        </w:rPr>
        <w:t>+ II160404, II170404 (Than bùn tuyển 4a)</w:t>
      </w:r>
    </w:p>
    <w:p w14:paraId="177C0BC3" w14:textId="77777777" w:rsidR="003C472C" w:rsidRPr="003C472C" w:rsidRDefault="003C472C" w:rsidP="00EB6C83">
      <w:pPr>
        <w:pStyle w:val="NormalWeb"/>
        <w:spacing w:beforeAutospacing="0" w:after="0" w:afterAutospacing="0" w:line="250" w:lineRule="auto"/>
        <w:ind w:firstLine="720"/>
        <w:jc w:val="both"/>
        <w:rPr>
          <w:rFonts w:ascii="Times New Roman" w:hAnsi="Times New Roman" w:cs="Times New Roman"/>
          <w:iCs/>
          <w:spacing w:val="-8"/>
          <w:sz w:val="28"/>
          <w:szCs w:val="28"/>
          <w:lang w:val="nl-NL"/>
        </w:rPr>
      </w:pPr>
      <w:r w:rsidRPr="003C472C">
        <w:rPr>
          <w:rFonts w:ascii="Times New Roman" w:hAnsi="Times New Roman" w:cs="Times New Roman"/>
          <w:iCs/>
          <w:sz w:val="28"/>
          <w:szCs w:val="28"/>
          <w:lang w:val="nl-NL"/>
        </w:rPr>
        <w:t>b) Mã n</w:t>
      </w:r>
      <w:r w:rsidRPr="003C472C">
        <w:rPr>
          <w:rFonts w:ascii="Times New Roman" w:hAnsi="Times New Roman" w:cs="Times New Roman"/>
          <w:iCs/>
          <w:spacing w:val="-4"/>
          <w:sz w:val="28"/>
          <w:szCs w:val="28"/>
          <w:lang w:val="nl-NL"/>
        </w:rPr>
        <w:t xml:space="preserve">hóm loại tài nguyên </w:t>
      </w:r>
      <w:r w:rsidRPr="003C472C">
        <w:rPr>
          <w:rFonts w:ascii="Times New Roman" w:hAnsi="Times New Roman" w:cs="Times New Roman"/>
          <w:iCs/>
          <w:spacing w:val="-8"/>
          <w:sz w:val="28"/>
          <w:szCs w:val="28"/>
          <w:lang w:val="nl-NL"/>
        </w:rPr>
        <w:t>do Tổng Công ty  Đông Bắc khai thác, gồm:</w:t>
      </w:r>
    </w:p>
    <w:p w14:paraId="0CDBE45A" w14:textId="77777777" w:rsidR="003C472C" w:rsidRPr="003C472C" w:rsidRDefault="003C472C" w:rsidP="00EB6C83">
      <w:pPr>
        <w:pStyle w:val="NormalWeb"/>
        <w:spacing w:beforeAutospacing="0" w:after="0" w:afterAutospacing="0" w:line="250" w:lineRule="auto"/>
        <w:ind w:firstLine="720"/>
        <w:jc w:val="both"/>
        <w:rPr>
          <w:rFonts w:ascii="Times New Roman" w:hAnsi="Times New Roman" w:cs="Times New Roman"/>
          <w:spacing w:val="-4"/>
          <w:sz w:val="28"/>
          <w:szCs w:val="28"/>
          <w:lang w:val="nl-NL"/>
        </w:rPr>
      </w:pPr>
      <w:r w:rsidRPr="003C472C">
        <w:rPr>
          <w:rFonts w:ascii="Times New Roman" w:hAnsi="Times New Roman" w:cs="Times New Roman"/>
          <w:spacing w:val="-4"/>
          <w:sz w:val="28"/>
          <w:szCs w:val="28"/>
          <w:lang w:val="nl-NL"/>
        </w:rPr>
        <w:t xml:space="preserve">+ Mã nhóm II1601, II1701 (Than sạch trong than khai thác); </w:t>
      </w:r>
    </w:p>
    <w:p w14:paraId="6AD4001F" w14:textId="32E35A9A" w:rsidR="003C472C" w:rsidRPr="003C472C" w:rsidRDefault="00E60A76" w:rsidP="00EB6C83">
      <w:pPr>
        <w:pStyle w:val="NormalWeb"/>
        <w:spacing w:beforeAutospacing="0" w:after="0" w:afterAutospacing="0" w:line="250" w:lineRule="auto"/>
        <w:ind w:firstLine="720"/>
        <w:jc w:val="both"/>
        <w:rPr>
          <w:rFonts w:ascii="Times New Roman" w:hAnsi="Times New Roman" w:cs="Times New Roman"/>
          <w:spacing w:val="-4"/>
          <w:sz w:val="28"/>
          <w:szCs w:val="28"/>
          <w:lang w:val="nl-NL"/>
        </w:rPr>
      </w:pPr>
      <w:r>
        <w:rPr>
          <w:rFonts w:ascii="Times New Roman" w:hAnsi="Times New Roman" w:cs="Times New Roman"/>
          <w:iCs/>
          <w:spacing w:val="-4"/>
          <w:sz w:val="28"/>
          <w:szCs w:val="28"/>
          <w:lang w:val="nl-NL"/>
        </w:rPr>
        <w:t>2</w:t>
      </w:r>
      <w:r w:rsidR="003C472C" w:rsidRPr="003C472C">
        <w:rPr>
          <w:rFonts w:ascii="Times New Roman" w:hAnsi="Times New Roman" w:cs="Times New Roman"/>
          <w:iCs/>
          <w:spacing w:val="-4"/>
          <w:sz w:val="28"/>
          <w:szCs w:val="28"/>
          <w:lang w:val="nl-NL"/>
        </w:rPr>
        <w:t>. Bãi bỏ 05 mã nhóm loại tài nguyên do Tổn</w:t>
      </w:r>
      <w:r>
        <w:rPr>
          <w:rFonts w:ascii="Times New Roman" w:hAnsi="Times New Roman" w:cs="Times New Roman"/>
          <w:iCs/>
          <w:spacing w:val="-4"/>
          <w:sz w:val="28"/>
          <w:szCs w:val="28"/>
          <w:lang w:val="nl-NL"/>
        </w:rPr>
        <w:t>g Công ty</w:t>
      </w:r>
      <w:r w:rsidR="003C472C" w:rsidRPr="003C472C">
        <w:rPr>
          <w:rFonts w:ascii="Times New Roman" w:hAnsi="Times New Roman" w:cs="Times New Roman"/>
          <w:iCs/>
          <w:spacing w:val="-4"/>
          <w:sz w:val="28"/>
          <w:szCs w:val="28"/>
          <w:lang w:val="nl-NL"/>
        </w:rPr>
        <w:t xml:space="preserve"> Đông Bắc khai thác</w:t>
      </w:r>
      <w:r w:rsidR="003C472C" w:rsidRPr="003C472C">
        <w:rPr>
          <w:rFonts w:ascii="Times New Roman" w:hAnsi="Times New Roman" w:cs="Times New Roman"/>
          <w:spacing w:val="-4"/>
          <w:sz w:val="28"/>
          <w:szCs w:val="28"/>
          <w:lang w:val="nl-NL"/>
        </w:rPr>
        <w:t xml:space="preserve"> được quy định tại </w:t>
      </w:r>
      <w:r w:rsidRPr="000A7D59">
        <w:rPr>
          <w:rFonts w:ascii="Times New Roman" w:hAnsi="Times New Roman" w:cs="Times New Roman"/>
          <w:spacing w:val="-4"/>
          <w:sz w:val="28"/>
          <w:szCs w:val="28"/>
          <w:lang w:val="nl-NL"/>
        </w:rPr>
        <w:t>Quyết địn</w:t>
      </w:r>
      <w:r>
        <w:rPr>
          <w:rFonts w:ascii="Times New Roman" w:hAnsi="Times New Roman" w:cs="Times New Roman"/>
          <w:spacing w:val="-4"/>
          <w:sz w:val="28"/>
          <w:szCs w:val="28"/>
          <w:lang w:val="nl-NL"/>
        </w:rPr>
        <w:t xml:space="preserve">h số 21/2023/QĐ-UBND ngày 27 tháng </w:t>
      </w:r>
      <w:r w:rsidRPr="000A7D59">
        <w:rPr>
          <w:rFonts w:ascii="Times New Roman" w:hAnsi="Times New Roman" w:cs="Times New Roman"/>
          <w:spacing w:val="-4"/>
          <w:sz w:val="28"/>
          <w:szCs w:val="28"/>
          <w:lang w:val="nl-NL"/>
        </w:rPr>
        <w:t>7</w:t>
      </w:r>
      <w:r>
        <w:rPr>
          <w:rFonts w:ascii="Times New Roman" w:hAnsi="Times New Roman" w:cs="Times New Roman"/>
          <w:spacing w:val="-4"/>
          <w:sz w:val="28"/>
          <w:szCs w:val="28"/>
          <w:lang w:val="nl-NL"/>
        </w:rPr>
        <w:t xml:space="preserve"> năm 2023 của Ủy ban nhân dân</w:t>
      </w:r>
      <w:r w:rsidRPr="000A7D59">
        <w:rPr>
          <w:rFonts w:ascii="Times New Roman" w:hAnsi="Times New Roman" w:cs="Times New Roman"/>
          <w:spacing w:val="-4"/>
          <w:sz w:val="28"/>
          <w:szCs w:val="28"/>
          <w:lang w:val="nl-NL"/>
        </w:rPr>
        <w:t xml:space="preserve"> tỉnh</w:t>
      </w:r>
      <w:r w:rsidR="003C472C" w:rsidRPr="003C472C">
        <w:rPr>
          <w:rFonts w:ascii="Times New Roman" w:hAnsi="Times New Roman" w:cs="Times New Roman"/>
          <w:spacing w:val="-4"/>
          <w:sz w:val="28"/>
          <w:szCs w:val="28"/>
          <w:lang w:val="nl-NL"/>
        </w:rPr>
        <w:t>, cụ thể:</w:t>
      </w:r>
    </w:p>
    <w:bookmarkEnd w:id="1"/>
    <w:p w14:paraId="6215A4A3" w14:textId="77777777" w:rsidR="003C472C" w:rsidRPr="003C472C" w:rsidRDefault="003C472C" w:rsidP="00EB6C83">
      <w:pPr>
        <w:spacing w:before="100" w:line="250" w:lineRule="auto"/>
        <w:ind w:firstLine="720"/>
        <w:jc w:val="both"/>
        <w:rPr>
          <w:color w:val="000000" w:themeColor="text1"/>
          <w:lang w:val="nl-NL"/>
        </w:rPr>
      </w:pPr>
      <w:r w:rsidRPr="003C472C">
        <w:rPr>
          <w:color w:val="000000" w:themeColor="text1"/>
          <w:lang w:val="nl-NL"/>
        </w:rPr>
        <w:t>+ Mã nhóm II160205 (Than cục 5a.2);</w:t>
      </w:r>
    </w:p>
    <w:p w14:paraId="7359F952" w14:textId="77777777" w:rsidR="003C472C" w:rsidRPr="003C472C" w:rsidRDefault="003C472C" w:rsidP="00EB6C83">
      <w:pPr>
        <w:spacing w:before="100" w:line="250" w:lineRule="auto"/>
        <w:ind w:firstLine="720"/>
        <w:jc w:val="both"/>
        <w:rPr>
          <w:color w:val="000000" w:themeColor="text1"/>
          <w:lang w:val="nl-NL"/>
        </w:rPr>
      </w:pPr>
      <w:r w:rsidRPr="003C472C">
        <w:rPr>
          <w:color w:val="000000" w:themeColor="text1"/>
          <w:lang w:val="nl-NL"/>
        </w:rPr>
        <w:t>+ Mã nhóm II160303, II170303 (Than cám: 3a.1; 3b.1; 3c.1);</w:t>
      </w:r>
    </w:p>
    <w:p w14:paraId="5DBEC582" w14:textId="77777777" w:rsidR="003C472C" w:rsidRPr="003C472C" w:rsidRDefault="003C472C" w:rsidP="00EB6C83">
      <w:pPr>
        <w:spacing w:before="100" w:line="250" w:lineRule="auto"/>
        <w:ind w:firstLine="720"/>
        <w:jc w:val="both"/>
        <w:rPr>
          <w:color w:val="000000" w:themeColor="text1"/>
          <w:lang w:val="nl-NL"/>
        </w:rPr>
      </w:pPr>
      <w:r w:rsidRPr="003C472C">
        <w:rPr>
          <w:color w:val="000000" w:themeColor="text1"/>
          <w:lang w:val="nl-NL"/>
        </w:rPr>
        <w:t>+ Mã nhóm II160304, II170304 (Than cám 4a.1).</w:t>
      </w:r>
    </w:p>
    <w:p w14:paraId="7AABFCD7" w14:textId="3623546B" w:rsidR="003C472C" w:rsidRPr="003C472C" w:rsidRDefault="00E60A76" w:rsidP="00EB6C83">
      <w:pPr>
        <w:spacing w:before="100" w:line="250" w:lineRule="auto"/>
        <w:ind w:firstLine="720"/>
        <w:jc w:val="both"/>
        <w:rPr>
          <w:color w:val="000000" w:themeColor="text1"/>
          <w:lang w:val="nl-NL"/>
        </w:rPr>
      </w:pPr>
      <w:r>
        <w:rPr>
          <w:color w:val="000000" w:themeColor="text1"/>
          <w:lang w:val="nl-NL"/>
        </w:rPr>
        <w:t>3</w:t>
      </w:r>
      <w:r w:rsidR="003C472C" w:rsidRPr="003C472C">
        <w:rPr>
          <w:color w:val="000000" w:themeColor="text1"/>
          <w:lang w:val="nl-NL"/>
        </w:rPr>
        <w:t xml:space="preserve">. Bãi bỏ 02 </w:t>
      </w:r>
      <w:r w:rsidR="00F41802">
        <w:rPr>
          <w:color w:val="000000" w:themeColor="text1"/>
          <w:lang w:val="nl-NL"/>
        </w:rPr>
        <w:t xml:space="preserve">mã </w:t>
      </w:r>
      <w:r w:rsidR="003C472C" w:rsidRPr="003C472C">
        <w:rPr>
          <w:color w:val="000000" w:themeColor="text1"/>
          <w:lang w:val="nl-NL"/>
        </w:rPr>
        <w:t xml:space="preserve">nhóm loại tài nguyên Nước thiên nhiên dùng cho sản xuất kinh doanh nước sạch (V2) </w:t>
      </w:r>
      <w:r w:rsidR="003C472C" w:rsidRPr="003C472C">
        <w:rPr>
          <w:spacing w:val="-4"/>
          <w:lang w:val="nl-NL"/>
        </w:rPr>
        <w:t xml:space="preserve">quy định tại </w:t>
      </w:r>
      <w:r w:rsidRPr="000A7D59">
        <w:rPr>
          <w:spacing w:val="-4"/>
          <w:lang w:val="nl-NL"/>
        </w:rPr>
        <w:t>Quyết địn</w:t>
      </w:r>
      <w:r>
        <w:rPr>
          <w:spacing w:val="-4"/>
          <w:lang w:val="nl-NL"/>
        </w:rPr>
        <w:t xml:space="preserve">h số 21/2023/QĐ-UBND ngày 27 tháng </w:t>
      </w:r>
      <w:r w:rsidRPr="000A7D59">
        <w:rPr>
          <w:spacing w:val="-4"/>
          <w:lang w:val="nl-NL"/>
        </w:rPr>
        <w:t>7</w:t>
      </w:r>
      <w:r>
        <w:rPr>
          <w:spacing w:val="-4"/>
          <w:lang w:val="nl-NL"/>
        </w:rPr>
        <w:t xml:space="preserve"> năm 2023 của Ủy ban nhân dân</w:t>
      </w:r>
      <w:r w:rsidRPr="000A7D59">
        <w:rPr>
          <w:spacing w:val="-4"/>
          <w:lang w:val="nl-NL"/>
        </w:rPr>
        <w:t xml:space="preserve"> tỉnh</w:t>
      </w:r>
      <w:r w:rsidR="003C472C" w:rsidRPr="003C472C">
        <w:rPr>
          <w:spacing w:val="-4"/>
          <w:lang w:val="nl-NL"/>
        </w:rPr>
        <w:t>, cụ thể:</w:t>
      </w:r>
    </w:p>
    <w:p w14:paraId="330FC489" w14:textId="77777777" w:rsidR="003C472C" w:rsidRPr="003C472C" w:rsidRDefault="003C472C" w:rsidP="00EB6C83">
      <w:pPr>
        <w:spacing w:before="100" w:line="250" w:lineRule="auto"/>
        <w:ind w:firstLine="720"/>
        <w:jc w:val="both"/>
        <w:rPr>
          <w:color w:val="000000" w:themeColor="text1"/>
          <w:lang w:val="nl-NL"/>
        </w:rPr>
      </w:pPr>
      <w:r w:rsidRPr="003C472C">
        <w:rPr>
          <w:color w:val="000000" w:themeColor="text1"/>
          <w:lang w:val="nl-NL"/>
        </w:rPr>
        <w:t>+ Mã nhóm V201 (Nước mặt);</w:t>
      </w:r>
    </w:p>
    <w:p w14:paraId="7EF37C21" w14:textId="77777777" w:rsidR="003C472C" w:rsidRPr="003C472C" w:rsidRDefault="003C472C" w:rsidP="00EB6C83">
      <w:pPr>
        <w:spacing w:before="100" w:line="250" w:lineRule="auto"/>
        <w:ind w:firstLine="720"/>
        <w:jc w:val="both"/>
        <w:rPr>
          <w:color w:val="000000" w:themeColor="text1"/>
          <w:lang w:val="nl-NL"/>
        </w:rPr>
      </w:pPr>
      <w:r w:rsidRPr="003C472C">
        <w:rPr>
          <w:color w:val="000000" w:themeColor="text1"/>
          <w:lang w:val="nl-NL"/>
        </w:rPr>
        <w:t>+ Mã nhóm V202 (Nước ngầm).</w:t>
      </w:r>
    </w:p>
    <w:p w14:paraId="223A71DA" w14:textId="5C104272" w:rsidR="004C7C7A" w:rsidRPr="00EF4F8F" w:rsidRDefault="004C7C7A" w:rsidP="00EB6C83">
      <w:pPr>
        <w:spacing w:before="100" w:line="250" w:lineRule="auto"/>
        <w:ind w:firstLine="720"/>
        <w:jc w:val="both"/>
        <w:rPr>
          <w:color w:val="000000" w:themeColor="text1"/>
          <w:spacing w:val="-2"/>
          <w:lang w:val="nl-NL"/>
        </w:rPr>
      </w:pPr>
      <w:r w:rsidRPr="00EF4F8F">
        <w:rPr>
          <w:b/>
          <w:color w:val="000000" w:themeColor="text1"/>
          <w:spacing w:val="-2"/>
          <w:lang w:val="nl-NL"/>
        </w:rPr>
        <w:t>Điều 4.</w:t>
      </w:r>
      <w:r w:rsidRPr="00EF4F8F">
        <w:rPr>
          <w:color w:val="000000" w:themeColor="text1"/>
          <w:spacing w:val="-2"/>
          <w:lang w:val="nl-NL"/>
        </w:rPr>
        <w:t xml:space="preserve"> Điều khoản chuyển tiếp</w:t>
      </w:r>
    </w:p>
    <w:p w14:paraId="317E7A7E" w14:textId="3E61AD97" w:rsidR="003C472C" w:rsidRPr="00251309" w:rsidRDefault="00251309" w:rsidP="00EB6C83">
      <w:pPr>
        <w:spacing w:before="100" w:line="250" w:lineRule="auto"/>
        <w:ind w:firstLine="720"/>
        <w:jc w:val="both"/>
        <w:rPr>
          <w:spacing w:val="-4"/>
          <w:lang w:val="nl-NL"/>
        </w:rPr>
      </w:pPr>
      <w:r w:rsidRPr="00251309">
        <w:rPr>
          <w:spacing w:val="-4"/>
          <w:lang w:val="nl-NL"/>
        </w:rPr>
        <w:t>Đối với các mã nhóm, loại tài nguyên còn lại quy định tại các Quyết định của Ủy ban nhân dân tỉnh</w:t>
      </w:r>
      <w:r w:rsidR="003C472C" w:rsidRPr="00251309">
        <w:rPr>
          <w:spacing w:val="-4"/>
          <w:lang w:val="nl-NL"/>
        </w:rPr>
        <w:t xml:space="preserve">: </w:t>
      </w:r>
      <w:r w:rsidRPr="00251309">
        <w:rPr>
          <w:spacing w:val="-4"/>
          <w:lang w:val="nl-NL"/>
        </w:rPr>
        <w:t xml:space="preserve">Số 47/2022/QĐ-UBND ngày 21 tháng 12 năm </w:t>
      </w:r>
      <w:r w:rsidR="003C472C" w:rsidRPr="00251309">
        <w:rPr>
          <w:spacing w:val="-4"/>
          <w:lang w:val="nl-NL"/>
        </w:rPr>
        <w:t>2</w:t>
      </w:r>
      <w:r w:rsidRPr="00251309">
        <w:rPr>
          <w:spacing w:val="-4"/>
          <w:lang w:val="nl-NL"/>
        </w:rPr>
        <w:t xml:space="preserve">022; số 21/2023/QĐ-UBND ngày 27 tháng 7 năm </w:t>
      </w:r>
      <w:r w:rsidR="003C472C" w:rsidRPr="00251309">
        <w:rPr>
          <w:spacing w:val="-4"/>
          <w:lang w:val="nl-NL"/>
        </w:rPr>
        <w:t>2</w:t>
      </w:r>
      <w:r w:rsidRPr="00251309">
        <w:rPr>
          <w:spacing w:val="-4"/>
          <w:lang w:val="nl-NL"/>
        </w:rPr>
        <w:t>023;</w:t>
      </w:r>
      <w:r w:rsidR="003C472C" w:rsidRPr="00251309">
        <w:rPr>
          <w:spacing w:val="-4"/>
          <w:lang w:val="nl-NL"/>
        </w:rPr>
        <w:t xml:space="preserve"> số 02/2024/QĐ-UBND ngày 12</w:t>
      </w:r>
      <w:r w:rsidRPr="00251309">
        <w:rPr>
          <w:spacing w:val="-4"/>
          <w:lang w:val="nl-NL"/>
        </w:rPr>
        <w:t xml:space="preserve"> tháng 01 năm 2024;</w:t>
      </w:r>
      <w:r w:rsidR="003C472C" w:rsidRPr="00251309">
        <w:rPr>
          <w:spacing w:val="-4"/>
          <w:lang w:val="nl-NL"/>
        </w:rPr>
        <w:t xml:space="preserve"> số 34/2023/QĐ-UBND ngày 14</w:t>
      </w:r>
      <w:r w:rsidRPr="00251309">
        <w:rPr>
          <w:spacing w:val="-4"/>
          <w:lang w:val="nl-NL"/>
        </w:rPr>
        <w:t xml:space="preserve"> tháng </w:t>
      </w:r>
      <w:r w:rsidR="003C472C" w:rsidRPr="00251309">
        <w:rPr>
          <w:spacing w:val="-4"/>
          <w:lang w:val="nl-NL"/>
        </w:rPr>
        <w:t>12</w:t>
      </w:r>
      <w:r w:rsidRPr="00251309">
        <w:rPr>
          <w:spacing w:val="-4"/>
          <w:lang w:val="nl-NL"/>
        </w:rPr>
        <w:t xml:space="preserve"> năm </w:t>
      </w:r>
      <w:r w:rsidR="003C472C" w:rsidRPr="00251309">
        <w:rPr>
          <w:spacing w:val="-4"/>
          <w:lang w:val="nl-NL"/>
        </w:rPr>
        <w:t>2023</w:t>
      </w:r>
      <w:r w:rsidRPr="00251309">
        <w:rPr>
          <w:spacing w:val="-4"/>
          <w:lang w:val="nl-NL"/>
        </w:rPr>
        <w:t>;</w:t>
      </w:r>
      <w:r w:rsidR="003C472C" w:rsidRPr="00251309">
        <w:rPr>
          <w:spacing w:val="-4"/>
          <w:lang w:val="nl-NL"/>
        </w:rPr>
        <w:t xml:space="preserve"> </w:t>
      </w:r>
      <w:r w:rsidRPr="00251309">
        <w:rPr>
          <w:spacing w:val="-4"/>
          <w:lang w:val="nl-NL"/>
        </w:rPr>
        <w:t>số 13/2024/QĐ-UBND ngày 15 tháng 4 năm 2024</w:t>
      </w:r>
      <w:r w:rsidR="003C472C" w:rsidRPr="00251309">
        <w:rPr>
          <w:spacing w:val="-4"/>
          <w:lang w:val="nl-NL"/>
        </w:rPr>
        <w:t xml:space="preserve"> thì tiếp tục thực hiện theo quy định.</w:t>
      </w:r>
    </w:p>
    <w:p w14:paraId="62A664DA" w14:textId="6524875D" w:rsidR="00481526" w:rsidRPr="008D3BAF" w:rsidRDefault="005D08AB" w:rsidP="008D3BAF">
      <w:pPr>
        <w:spacing w:before="100" w:line="250" w:lineRule="auto"/>
        <w:ind w:firstLine="720"/>
        <w:jc w:val="both"/>
        <w:rPr>
          <w:color w:val="000000"/>
          <w:spacing w:val="-2"/>
          <w:lang w:val="nl-NL"/>
        </w:rPr>
      </w:pPr>
      <w:r>
        <w:rPr>
          <w:lang w:val="nl-NL"/>
        </w:rPr>
        <w:t xml:space="preserve"> </w:t>
      </w:r>
      <w:r w:rsidR="00481526" w:rsidRPr="00CC2E9D">
        <w:rPr>
          <w:b/>
          <w:color w:val="000000"/>
          <w:spacing w:val="-2"/>
          <w:lang w:val="nl-NL"/>
        </w:rPr>
        <w:t xml:space="preserve">Điều </w:t>
      </w:r>
      <w:r w:rsidR="007600D5">
        <w:rPr>
          <w:b/>
          <w:color w:val="000000"/>
          <w:spacing w:val="-2"/>
          <w:lang w:val="nl-NL"/>
        </w:rPr>
        <w:t>5</w:t>
      </w:r>
      <w:r w:rsidR="00481526" w:rsidRPr="00CC2E9D">
        <w:rPr>
          <w:b/>
          <w:color w:val="000000"/>
          <w:spacing w:val="-2"/>
          <w:lang w:val="nl-NL"/>
        </w:rPr>
        <w:t>.</w:t>
      </w:r>
      <w:r w:rsidR="00481526" w:rsidRPr="00CC2E9D">
        <w:rPr>
          <w:color w:val="000000"/>
          <w:spacing w:val="-2"/>
          <w:lang w:val="nl-NL"/>
        </w:rPr>
        <w:t xml:space="preserve"> Các ông (bà): Chánh Văn phòng Ủy ban nhân dân tỉnh, Giám đốc Sở Tài chính; Giám đốc Sở Tài nguyên và Môi trường; </w:t>
      </w:r>
      <w:r w:rsidR="008D3BAF">
        <w:rPr>
          <w:color w:val="000000"/>
          <w:spacing w:val="-2"/>
          <w:lang w:val="nl-NL"/>
        </w:rPr>
        <w:t>Giám đốc Sở Công T</w:t>
      </w:r>
      <w:r w:rsidR="00B55735">
        <w:rPr>
          <w:color w:val="000000"/>
          <w:spacing w:val="-2"/>
          <w:lang w:val="nl-NL"/>
        </w:rPr>
        <w:t xml:space="preserve">hương; </w:t>
      </w:r>
      <w:r w:rsidR="00481526" w:rsidRPr="00CC2E9D">
        <w:rPr>
          <w:color w:val="000000"/>
          <w:spacing w:val="-2"/>
          <w:lang w:val="nl-NL"/>
        </w:rPr>
        <w:t xml:space="preserve">Cục Trưởng Cục Thuế tỉnh; </w:t>
      </w:r>
      <w:r w:rsidR="008D3BAF" w:rsidRPr="00B46E6E">
        <w:rPr>
          <w:color w:val="000000"/>
          <w:spacing w:val="-2"/>
          <w:lang w:val="nl-NL"/>
        </w:rPr>
        <w:t>Chủ tịch Ủy ban nhân dân các huyện, thị xã thành phố; Thủ trưởng các cơ quan, đơn vị và các tổ chức, cá nhân có liên quan căn cứ quyết định thi hành</w:t>
      </w:r>
      <w:r w:rsidR="00481526" w:rsidRPr="00CC2E9D">
        <w:rPr>
          <w:color w:val="000000"/>
          <w:spacing w:val="-2"/>
          <w:lang w:val="nl-NL"/>
        </w:rPr>
        <w:t>./.</w:t>
      </w:r>
    </w:p>
    <w:p w14:paraId="2477DA4F" w14:textId="77777777" w:rsidR="00481526" w:rsidRPr="00CC2E9D" w:rsidRDefault="00481526" w:rsidP="00481526">
      <w:pPr>
        <w:spacing w:before="120" w:line="360" w:lineRule="auto"/>
        <w:ind w:firstLine="720"/>
        <w:jc w:val="both"/>
        <w:rPr>
          <w:color w:val="000000"/>
          <w:sz w:val="2"/>
          <w:lang w:val="nl-NL"/>
        </w:rPr>
      </w:pPr>
    </w:p>
    <w:tbl>
      <w:tblPr>
        <w:tblW w:w="9165" w:type="dxa"/>
        <w:tblLook w:val="01E0" w:firstRow="1" w:lastRow="1" w:firstColumn="1" w:lastColumn="1" w:noHBand="0" w:noVBand="0"/>
      </w:tblPr>
      <w:tblGrid>
        <w:gridCol w:w="4361"/>
        <w:gridCol w:w="4804"/>
      </w:tblGrid>
      <w:tr w:rsidR="008D3BAF" w:rsidRPr="00CC2E9D" w14:paraId="65716500" w14:textId="77777777" w:rsidTr="008D3BAF">
        <w:tc>
          <w:tcPr>
            <w:tcW w:w="4361" w:type="dxa"/>
            <w:shd w:val="clear" w:color="auto" w:fill="auto"/>
          </w:tcPr>
          <w:p w14:paraId="082118CC" w14:textId="77777777" w:rsidR="008D3BAF" w:rsidRPr="00CC2E9D" w:rsidRDefault="008D3BAF" w:rsidP="00C035D6">
            <w:pPr>
              <w:jc w:val="both"/>
              <w:rPr>
                <w:color w:val="000000"/>
              </w:rPr>
            </w:pPr>
            <w:bookmarkStart w:id="2" w:name="_Hlk154393048"/>
            <w:r w:rsidRPr="00CC2E9D">
              <w:rPr>
                <w:color w:val="000000"/>
                <w:sz w:val="22"/>
                <w:szCs w:val="22"/>
                <w:lang w:val="nl-NL"/>
              </w:rPr>
              <w:t xml:space="preserve">      </w:t>
            </w:r>
          </w:p>
        </w:tc>
        <w:tc>
          <w:tcPr>
            <w:tcW w:w="4804" w:type="dxa"/>
            <w:shd w:val="clear" w:color="auto" w:fill="auto"/>
          </w:tcPr>
          <w:p w14:paraId="78C0F112" w14:textId="77777777" w:rsidR="008D3BAF" w:rsidRDefault="008D3BAF" w:rsidP="00C035D6">
            <w:pPr>
              <w:jc w:val="center"/>
              <w:rPr>
                <w:b/>
                <w:bCs/>
                <w:color w:val="000000"/>
              </w:rPr>
            </w:pPr>
            <w:r w:rsidRPr="00CC2E9D">
              <w:rPr>
                <w:b/>
                <w:bCs/>
                <w:color w:val="000000"/>
              </w:rPr>
              <w:t>TM. UỶ BAN NHÂN DÂN</w:t>
            </w:r>
          </w:p>
          <w:p w14:paraId="518E51FB" w14:textId="1CADFFA2" w:rsidR="008D3BAF" w:rsidRDefault="008D3BAF" w:rsidP="00C035D6">
            <w:pPr>
              <w:jc w:val="center"/>
              <w:rPr>
                <w:b/>
                <w:bCs/>
                <w:color w:val="000000"/>
              </w:rPr>
            </w:pPr>
            <w:r>
              <w:rPr>
                <w:b/>
                <w:bCs/>
                <w:color w:val="000000"/>
              </w:rPr>
              <w:t xml:space="preserve"> </w:t>
            </w:r>
            <w:r w:rsidR="00F41802">
              <w:rPr>
                <w:b/>
                <w:bCs/>
                <w:color w:val="000000"/>
              </w:rPr>
              <w:t>CHỦ TỊCH</w:t>
            </w:r>
          </w:p>
          <w:p w14:paraId="5BEBED8A" w14:textId="77777777" w:rsidR="008D3BAF" w:rsidRPr="00CC2E9D" w:rsidRDefault="008D3BAF" w:rsidP="00C035D6">
            <w:pPr>
              <w:jc w:val="center"/>
              <w:rPr>
                <w:b/>
                <w:bCs/>
                <w:color w:val="000000"/>
              </w:rPr>
            </w:pPr>
            <w:r w:rsidRPr="00CC2E9D">
              <w:rPr>
                <w:rFonts w:ascii=".VnTimeH" w:hAnsi=".VnTimeH"/>
                <w:b/>
                <w:bCs/>
                <w:color w:val="000000"/>
              </w:rPr>
              <w:tab/>
            </w:r>
          </w:p>
          <w:p w14:paraId="7232B975" w14:textId="4F637432" w:rsidR="008D3BAF" w:rsidRPr="00356338" w:rsidRDefault="00356338" w:rsidP="00C035D6">
            <w:pPr>
              <w:jc w:val="center"/>
              <w:rPr>
                <w:i/>
                <w:color w:val="000000"/>
              </w:rPr>
            </w:pPr>
            <w:r w:rsidRPr="00356338">
              <w:rPr>
                <w:i/>
                <w:color w:val="000000"/>
              </w:rPr>
              <w:t>(Đã ký)</w:t>
            </w:r>
          </w:p>
          <w:p w14:paraId="1F01A7AE" w14:textId="77777777" w:rsidR="008D3BAF" w:rsidRPr="00CC2E9D" w:rsidRDefault="008D3BAF" w:rsidP="00C035D6">
            <w:pPr>
              <w:jc w:val="center"/>
              <w:rPr>
                <w:b/>
                <w:color w:val="000000"/>
              </w:rPr>
            </w:pPr>
          </w:p>
          <w:p w14:paraId="1D8A8086" w14:textId="2ECADC78" w:rsidR="008D3BAF" w:rsidRPr="00CC2E9D" w:rsidRDefault="00F837B4" w:rsidP="00F41802">
            <w:pPr>
              <w:jc w:val="center"/>
              <w:rPr>
                <w:b/>
                <w:color w:val="000000"/>
              </w:rPr>
            </w:pPr>
            <w:r>
              <w:rPr>
                <w:b/>
                <w:color w:val="000000"/>
              </w:rPr>
              <w:t>Cao Tường Huy</w:t>
            </w:r>
            <w:r w:rsidR="002F5469">
              <w:rPr>
                <w:b/>
                <w:color w:val="000000"/>
              </w:rPr>
              <w:t xml:space="preserve"> </w:t>
            </w:r>
          </w:p>
        </w:tc>
      </w:tr>
      <w:bookmarkEnd w:id="2"/>
    </w:tbl>
    <w:p w14:paraId="25379E4C" w14:textId="77777777" w:rsidR="00481526" w:rsidRPr="00CC2E9D" w:rsidRDefault="00481526" w:rsidP="00481526">
      <w:pPr>
        <w:jc w:val="center"/>
        <w:rPr>
          <w:b/>
          <w:color w:val="000000"/>
          <w:lang w:val="nl-NL"/>
        </w:rPr>
      </w:pPr>
    </w:p>
    <w:p w14:paraId="61C08D6B" w14:textId="77777777" w:rsidR="00481526" w:rsidRPr="00CC2E9D" w:rsidRDefault="00481526" w:rsidP="00481526">
      <w:pPr>
        <w:jc w:val="center"/>
        <w:rPr>
          <w:color w:val="000000"/>
          <w:sz w:val="26"/>
          <w:szCs w:val="26"/>
          <w:highlight w:val="yellow"/>
          <w:lang w:val="nl-NL"/>
        </w:rPr>
      </w:pPr>
    </w:p>
    <w:p w14:paraId="32FE2A79" w14:textId="77777777" w:rsidR="00481526" w:rsidRPr="00CC2E9D" w:rsidRDefault="00481526" w:rsidP="00481526">
      <w:pPr>
        <w:jc w:val="center"/>
        <w:rPr>
          <w:color w:val="000000"/>
          <w:sz w:val="26"/>
          <w:szCs w:val="26"/>
          <w:highlight w:val="yellow"/>
          <w:lang w:val="nl-NL"/>
        </w:rPr>
      </w:pPr>
    </w:p>
    <w:p w14:paraId="5BB02D4F" w14:textId="77777777" w:rsidR="00481526" w:rsidRDefault="00481526" w:rsidP="00481526"/>
    <w:p w14:paraId="30836F19" w14:textId="58618C57" w:rsidR="00BA111C" w:rsidRDefault="00BA111C">
      <w:pPr>
        <w:spacing w:after="200" w:line="276" w:lineRule="auto"/>
        <w:rPr>
          <w:rFonts w:ascii="Times New Roman Bold" w:hAnsi="Times New Roman Bold"/>
          <w:b/>
          <w:spacing w:val="-6"/>
          <w:sz w:val="27"/>
          <w:szCs w:val="27"/>
        </w:rPr>
      </w:pPr>
      <w:bookmarkStart w:id="3" w:name="_GoBack"/>
      <w:bookmarkEnd w:id="3"/>
    </w:p>
    <w:sectPr w:rsidR="00BA111C" w:rsidSect="00F837B4">
      <w:headerReference w:type="default" r:id="rId7"/>
      <w:footerReference w:type="even" r:id="rId8"/>
      <w:pgSz w:w="11909" w:h="16834" w:code="9"/>
      <w:pgMar w:top="907" w:right="964" w:bottom="851" w:left="181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E7197" w14:textId="77777777" w:rsidR="00620B67" w:rsidRDefault="00620B67">
      <w:r>
        <w:separator/>
      </w:r>
    </w:p>
  </w:endnote>
  <w:endnote w:type="continuationSeparator" w:id="0">
    <w:p w14:paraId="669EAE94" w14:textId="77777777" w:rsidR="00620B67" w:rsidRDefault="0062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B6329" w14:textId="77777777" w:rsidR="00292D0B" w:rsidRDefault="00392138" w:rsidP="00E07D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47E2C7" w14:textId="77777777" w:rsidR="00292D0B" w:rsidRDefault="00292D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1A37E" w14:textId="77777777" w:rsidR="00620B67" w:rsidRDefault="00620B67">
      <w:r>
        <w:separator/>
      </w:r>
    </w:p>
  </w:footnote>
  <w:footnote w:type="continuationSeparator" w:id="0">
    <w:p w14:paraId="1B3C3526" w14:textId="77777777" w:rsidR="00620B67" w:rsidRDefault="00620B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07758"/>
      <w:docPartObj>
        <w:docPartGallery w:val="Page Numbers (Top of Page)"/>
        <w:docPartUnique/>
      </w:docPartObj>
    </w:sdtPr>
    <w:sdtEndPr>
      <w:rPr>
        <w:noProof/>
      </w:rPr>
    </w:sdtEndPr>
    <w:sdtContent>
      <w:p w14:paraId="24F79F86" w14:textId="7E41EDA9" w:rsidR="00BA111C" w:rsidRDefault="00BA111C" w:rsidP="00F837B4">
        <w:pPr>
          <w:pStyle w:val="Header"/>
          <w:spacing w:after="100"/>
          <w:jc w:val="center"/>
        </w:pPr>
        <w:r>
          <w:fldChar w:fldCharType="begin"/>
        </w:r>
        <w:r>
          <w:instrText xml:space="preserve"> PAGE   \* MERGEFORMAT </w:instrText>
        </w:r>
        <w:r>
          <w:fldChar w:fldCharType="separate"/>
        </w:r>
        <w:r w:rsidR="003570F2">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76D49"/>
    <w:multiLevelType w:val="hybridMultilevel"/>
    <w:tmpl w:val="725249C2"/>
    <w:lvl w:ilvl="0" w:tplc="AC665BF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526"/>
    <w:rsid w:val="000902FB"/>
    <w:rsid w:val="00091A07"/>
    <w:rsid w:val="001075ED"/>
    <w:rsid w:val="00127F90"/>
    <w:rsid w:val="001A4D9F"/>
    <w:rsid w:val="001A7AE2"/>
    <w:rsid w:val="001B1A60"/>
    <w:rsid w:val="001F0D6F"/>
    <w:rsid w:val="00220A3D"/>
    <w:rsid w:val="00241E29"/>
    <w:rsid w:val="0024404D"/>
    <w:rsid w:val="00251309"/>
    <w:rsid w:val="00292D0B"/>
    <w:rsid w:val="002F5469"/>
    <w:rsid w:val="00356338"/>
    <w:rsid w:val="003570F2"/>
    <w:rsid w:val="00392138"/>
    <w:rsid w:val="003A4451"/>
    <w:rsid w:val="003C472C"/>
    <w:rsid w:val="00451B77"/>
    <w:rsid w:val="00470C8F"/>
    <w:rsid w:val="00471FC2"/>
    <w:rsid w:val="00481526"/>
    <w:rsid w:val="004877C0"/>
    <w:rsid w:val="004C7C7A"/>
    <w:rsid w:val="004E5382"/>
    <w:rsid w:val="00503D02"/>
    <w:rsid w:val="005312F7"/>
    <w:rsid w:val="005A2E0D"/>
    <w:rsid w:val="005A520B"/>
    <w:rsid w:val="005D08AB"/>
    <w:rsid w:val="005E7446"/>
    <w:rsid w:val="00620B67"/>
    <w:rsid w:val="00630BEF"/>
    <w:rsid w:val="006637EC"/>
    <w:rsid w:val="00681F2C"/>
    <w:rsid w:val="006D4CCA"/>
    <w:rsid w:val="006E02EF"/>
    <w:rsid w:val="006E70AF"/>
    <w:rsid w:val="0072408B"/>
    <w:rsid w:val="00726D54"/>
    <w:rsid w:val="007600D5"/>
    <w:rsid w:val="007C5693"/>
    <w:rsid w:val="007D2BDB"/>
    <w:rsid w:val="007E0DB2"/>
    <w:rsid w:val="00821C11"/>
    <w:rsid w:val="0084136E"/>
    <w:rsid w:val="00851237"/>
    <w:rsid w:val="008800DC"/>
    <w:rsid w:val="008C1BC3"/>
    <w:rsid w:val="008D3BAF"/>
    <w:rsid w:val="00983244"/>
    <w:rsid w:val="009D1AD1"/>
    <w:rsid w:val="00AB6081"/>
    <w:rsid w:val="00AC7F2C"/>
    <w:rsid w:val="00B10920"/>
    <w:rsid w:val="00B34C85"/>
    <w:rsid w:val="00B55735"/>
    <w:rsid w:val="00B67166"/>
    <w:rsid w:val="00BA111C"/>
    <w:rsid w:val="00C401C0"/>
    <w:rsid w:val="00C47420"/>
    <w:rsid w:val="00C5436B"/>
    <w:rsid w:val="00C62EBE"/>
    <w:rsid w:val="00CD3E5C"/>
    <w:rsid w:val="00D87B43"/>
    <w:rsid w:val="00DB4CD3"/>
    <w:rsid w:val="00DF0479"/>
    <w:rsid w:val="00E60A76"/>
    <w:rsid w:val="00E651ED"/>
    <w:rsid w:val="00E67EA8"/>
    <w:rsid w:val="00E85822"/>
    <w:rsid w:val="00E9028C"/>
    <w:rsid w:val="00EA1EA5"/>
    <w:rsid w:val="00EB62FB"/>
    <w:rsid w:val="00EB6C83"/>
    <w:rsid w:val="00ED27BE"/>
    <w:rsid w:val="00EF1797"/>
    <w:rsid w:val="00EF300A"/>
    <w:rsid w:val="00EF4F8F"/>
    <w:rsid w:val="00F24281"/>
    <w:rsid w:val="00F3072D"/>
    <w:rsid w:val="00F41802"/>
    <w:rsid w:val="00F450CA"/>
    <w:rsid w:val="00F50A29"/>
    <w:rsid w:val="00F837B4"/>
    <w:rsid w:val="00F83EEF"/>
    <w:rsid w:val="00F9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99264"/>
  <w15:docId w15:val="{5C2571BF-CD03-4FA8-B126-FC2BF0F3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52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1526"/>
    <w:pPr>
      <w:tabs>
        <w:tab w:val="center" w:pos="4320"/>
        <w:tab w:val="right" w:pos="8640"/>
      </w:tabs>
    </w:pPr>
    <w:rPr>
      <w:sz w:val="26"/>
      <w:szCs w:val="26"/>
    </w:rPr>
  </w:style>
  <w:style w:type="character" w:customStyle="1" w:styleId="FooterChar">
    <w:name w:val="Footer Char"/>
    <w:basedOn w:val="DefaultParagraphFont"/>
    <w:link w:val="Footer"/>
    <w:uiPriority w:val="99"/>
    <w:rsid w:val="00481526"/>
    <w:rPr>
      <w:rFonts w:eastAsia="Times New Roman" w:cs="Times New Roman"/>
      <w:sz w:val="26"/>
      <w:szCs w:val="26"/>
    </w:rPr>
  </w:style>
  <w:style w:type="character" w:styleId="PageNumber">
    <w:name w:val="page number"/>
    <w:basedOn w:val="DefaultParagraphFont"/>
    <w:rsid w:val="00481526"/>
  </w:style>
  <w:style w:type="paragraph" w:styleId="BodyTextIndent">
    <w:name w:val="Body Text Indent"/>
    <w:basedOn w:val="Normal"/>
    <w:link w:val="BodyTextIndentChar"/>
    <w:rsid w:val="00481526"/>
    <w:pPr>
      <w:spacing w:line="440" w:lineRule="exact"/>
      <w:ind w:firstLine="544"/>
      <w:jc w:val="both"/>
    </w:pPr>
    <w:rPr>
      <w:rFonts w:ascii=".VnTime" w:hAnsi=".VnTime"/>
      <w:spacing w:val="-8"/>
      <w:szCs w:val="24"/>
    </w:rPr>
  </w:style>
  <w:style w:type="character" w:customStyle="1" w:styleId="BodyTextIndentChar">
    <w:name w:val="Body Text Indent Char"/>
    <w:basedOn w:val="DefaultParagraphFont"/>
    <w:link w:val="BodyTextIndent"/>
    <w:rsid w:val="00481526"/>
    <w:rPr>
      <w:rFonts w:ascii=".VnTime" w:eastAsia="Times New Roman" w:hAnsi=".VnTime" w:cs="Times New Roman"/>
      <w:spacing w:val="-8"/>
      <w:szCs w:val="24"/>
    </w:rPr>
  </w:style>
  <w:style w:type="paragraph" w:styleId="NormalWeb">
    <w:name w:val="Normal (Web)"/>
    <w:basedOn w:val="Normal"/>
    <w:uiPriority w:val="99"/>
    <w:rsid w:val="00481526"/>
    <w:pPr>
      <w:spacing w:before="100" w:beforeAutospacing="1" w:after="100" w:afterAutospacing="1"/>
    </w:pPr>
    <w:rPr>
      <w:rFonts w:ascii="VNI-Times" w:hAnsi="VNI-Times" w:cs="VNI-Times"/>
      <w:sz w:val="24"/>
      <w:szCs w:val="24"/>
    </w:rPr>
  </w:style>
  <w:style w:type="paragraph" w:styleId="Header">
    <w:name w:val="header"/>
    <w:basedOn w:val="Normal"/>
    <w:link w:val="HeaderChar"/>
    <w:uiPriority w:val="99"/>
    <w:unhideWhenUsed/>
    <w:rsid w:val="00C401C0"/>
    <w:pPr>
      <w:tabs>
        <w:tab w:val="center" w:pos="4680"/>
        <w:tab w:val="right" w:pos="9360"/>
      </w:tabs>
    </w:pPr>
  </w:style>
  <w:style w:type="character" w:customStyle="1" w:styleId="HeaderChar">
    <w:name w:val="Header Char"/>
    <w:basedOn w:val="DefaultParagraphFont"/>
    <w:link w:val="Header"/>
    <w:uiPriority w:val="99"/>
    <w:rsid w:val="00C401C0"/>
    <w:rPr>
      <w:rFonts w:eastAsia="Times New Roman" w:cs="Times New Roman"/>
      <w:szCs w:val="28"/>
    </w:rPr>
  </w:style>
  <w:style w:type="paragraph" w:styleId="BalloonText">
    <w:name w:val="Balloon Text"/>
    <w:basedOn w:val="Normal"/>
    <w:link w:val="BalloonTextChar"/>
    <w:uiPriority w:val="99"/>
    <w:semiHidden/>
    <w:unhideWhenUsed/>
    <w:rsid w:val="004C7C7A"/>
    <w:rPr>
      <w:rFonts w:ascii="Tahoma" w:hAnsi="Tahoma" w:cs="Tahoma"/>
      <w:sz w:val="16"/>
      <w:szCs w:val="16"/>
    </w:rPr>
  </w:style>
  <w:style w:type="character" w:customStyle="1" w:styleId="BalloonTextChar">
    <w:name w:val="Balloon Text Char"/>
    <w:basedOn w:val="DefaultParagraphFont"/>
    <w:link w:val="BalloonText"/>
    <w:uiPriority w:val="99"/>
    <w:semiHidden/>
    <w:rsid w:val="004C7C7A"/>
    <w:rPr>
      <w:rFonts w:ascii="Tahoma" w:eastAsia="Times New Roman" w:hAnsi="Tahoma" w:cs="Tahoma"/>
      <w:sz w:val="16"/>
      <w:szCs w:val="16"/>
    </w:rPr>
  </w:style>
  <w:style w:type="paragraph" w:styleId="ListParagraph">
    <w:name w:val="List Paragraph"/>
    <w:basedOn w:val="Normal"/>
    <w:uiPriority w:val="34"/>
    <w:qFormat/>
    <w:rsid w:val="008C1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830852">
      <w:bodyDiv w:val="1"/>
      <w:marLeft w:val="0"/>
      <w:marRight w:val="0"/>
      <w:marTop w:val="0"/>
      <w:marBottom w:val="0"/>
      <w:divBdr>
        <w:top w:val="none" w:sz="0" w:space="0" w:color="auto"/>
        <w:left w:val="none" w:sz="0" w:space="0" w:color="auto"/>
        <w:bottom w:val="none" w:sz="0" w:space="0" w:color="auto"/>
        <w:right w:val="none" w:sz="0" w:space="0" w:color="auto"/>
      </w:divBdr>
    </w:div>
    <w:div w:id="1534881389">
      <w:bodyDiv w:val="1"/>
      <w:marLeft w:val="0"/>
      <w:marRight w:val="0"/>
      <w:marTop w:val="0"/>
      <w:marBottom w:val="0"/>
      <w:divBdr>
        <w:top w:val="none" w:sz="0" w:space="0" w:color="auto"/>
        <w:left w:val="none" w:sz="0" w:space="0" w:color="auto"/>
        <w:bottom w:val="none" w:sz="0" w:space="0" w:color="auto"/>
        <w:right w:val="none" w:sz="0" w:space="0" w:color="auto"/>
      </w:divBdr>
    </w:div>
    <w:div w:id="197656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Luu Tru 1 _PhuongOt</cp:lastModifiedBy>
  <cp:revision>28</cp:revision>
  <cp:lastPrinted>2024-09-12T08:25:00Z</cp:lastPrinted>
  <dcterms:created xsi:type="dcterms:W3CDTF">2024-03-08T16:10:00Z</dcterms:created>
  <dcterms:modified xsi:type="dcterms:W3CDTF">2024-10-17T07:44:00Z</dcterms:modified>
</cp:coreProperties>
</file>